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07ED" w14:textId="32225B8B" w:rsidR="00867F34" w:rsidRPr="000C7836" w:rsidRDefault="00867F34" w:rsidP="00867F34">
      <w:pPr>
        <w:spacing w:after="0" w:line="240" w:lineRule="auto"/>
        <w:jc w:val="center"/>
        <w:rPr>
          <w:rFonts w:asciiTheme="majorHAnsi" w:eastAsia="Times New Roman" w:hAnsiTheme="majorHAnsi" w:cstheme="majorHAnsi"/>
          <w:b/>
          <w:bCs/>
          <w:color w:val="000000"/>
          <w:sz w:val="36"/>
          <w:szCs w:val="36"/>
        </w:rPr>
      </w:pPr>
      <w:bookmarkStart w:id="0" w:name="_GoBack"/>
      <w:bookmarkEnd w:id="0"/>
      <w:r w:rsidRPr="000C7836">
        <w:rPr>
          <w:rFonts w:asciiTheme="majorHAnsi" w:eastAsia="Times New Roman" w:hAnsiTheme="majorHAnsi" w:cstheme="majorHAnsi"/>
          <w:b/>
          <w:bCs/>
          <w:color w:val="000000"/>
          <w:sz w:val="36"/>
          <w:szCs w:val="36"/>
        </w:rPr>
        <w:t>The Employer Participation in Repayment Act</w:t>
      </w:r>
    </w:p>
    <w:p w14:paraId="530833B2" w14:textId="7D8F3E5C" w:rsidR="0001711E" w:rsidRDefault="0001711E" w:rsidP="00867F34">
      <w:pPr>
        <w:spacing w:after="0" w:line="240" w:lineRule="auto"/>
        <w:jc w:val="center"/>
        <w:rPr>
          <w:rFonts w:asciiTheme="majorHAnsi" w:eastAsia="Times New Roman" w:hAnsiTheme="majorHAnsi" w:cstheme="majorHAnsi"/>
          <w:bCs/>
          <w:color w:val="000000"/>
          <w:sz w:val="24"/>
          <w:szCs w:val="24"/>
        </w:rPr>
      </w:pPr>
      <w:r>
        <w:rPr>
          <w:rFonts w:asciiTheme="majorHAnsi" w:eastAsia="Times New Roman" w:hAnsiTheme="majorHAnsi" w:cstheme="majorHAnsi"/>
          <w:bCs/>
          <w:color w:val="000000"/>
          <w:sz w:val="24"/>
          <w:szCs w:val="24"/>
        </w:rPr>
        <w:t>Sen. Mark Warner (D-VA) and Sen. John Thune (R-SD)</w:t>
      </w:r>
    </w:p>
    <w:p w14:paraId="0B8BEE8E" w14:textId="7F9C1CEC" w:rsidR="00031ED4" w:rsidRDefault="00031ED4" w:rsidP="0001711E">
      <w:pPr>
        <w:spacing w:after="0" w:line="240" w:lineRule="auto"/>
        <w:jc w:val="center"/>
        <w:rPr>
          <w:rFonts w:asciiTheme="majorHAnsi" w:eastAsia="Times New Roman" w:hAnsiTheme="majorHAnsi" w:cstheme="majorHAnsi"/>
          <w:bCs/>
          <w:color w:val="000000"/>
          <w:sz w:val="24"/>
          <w:szCs w:val="24"/>
        </w:rPr>
      </w:pPr>
      <w:r>
        <w:rPr>
          <w:rFonts w:asciiTheme="majorHAnsi" w:eastAsia="Times New Roman" w:hAnsiTheme="majorHAnsi" w:cstheme="majorHAnsi"/>
          <w:bCs/>
          <w:color w:val="000000"/>
          <w:sz w:val="24"/>
          <w:szCs w:val="24"/>
        </w:rPr>
        <w:t>Rep. Nicole Malliotakis (R-NY)</w:t>
      </w:r>
      <w:r w:rsidR="00527B57">
        <w:rPr>
          <w:rFonts w:asciiTheme="majorHAnsi" w:eastAsia="Times New Roman" w:hAnsiTheme="majorHAnsi" w:cstheme="majorHAnsi"/>
          <w:bCs/>
          <w:color w:val="000000"/>
          <w:sz w:val="24"/>
          <w:szCs w:val="24"/>
        </w:rPr>
        <w:t xml:space="preserve"> and </w:t>
      </w:r>
      <w:r w:rsidR="00527B57" w:rsidRPr="00527B57">
        <w:rPr>
          <w:rFonts w:asciiTheme="majorHAnsi" w:eastAsia="Times New Roman" w:hAnsiTheme="majorHAnsi" w:cstheme="majorHAnsi"/>
          <w:bCs/>
          <w:color w:val="000000"/>
          <w:sz w:val="24"/>
          <w:szCs w:val="24"/>
        </w:rPr>
        <w:t>Rep. Scott Peters (D-CA)</w:t>
      </w:r>
    </w:p>
    <w:p w14:paraId="75983DA3" w14:textId="77777777" w:rsidR="002730CD" w:rsidRPr="002730CD" w:rsidRDefault="002730CD" w:rsidP="002730CD">
      <w:pPr>
        <w:spacing w:after="0" w:line="240" w:lineRule="auto"/>
        <w:rPr>
          <w:rFonts w:asciiTheme="majorHAnsi" w:eastAsia="Times New Roman" w:hAnsiTheme="majorHAnsi" w:cstheme="majorHAnsi"/>
          <w:sz w:val="24"/>
          <w:szCs w:val="24"/>
        </w:rPr>
      </w:pPr>
    </w:p>
    <w:p w14:paraId="5570509F" w14:textId="6675A0EC" w:rsidR="00FF307D" w:rsidRDefault="00FF307D" w:rsidP="002730CD">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color w:val="000000"/>
          <w:sz w:val="24"/>
          <w:szCs w:val="24"/>
          <w:u w:val="single"/>
        </w:rPr>
        <w:t>Legislative Background</w:t>
      </w:r>
    </w:p>
    <w:p w14:paraId="229E02FC" w14:textId="25350F8D" w:rsidR="00FF307D" w:rsidRPr="00FF307D" w:rsidRDefault="00031ED4" w:rsidP="002730CD">
      <w:pPr>
        <w:spacing w:after="0"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sz w:val="24"/>
          <w:szCs w:val="24"/>
        </w:rPr>
        <w:t>In the 116</w:t>
      </w:r>
      <w:r w:rsidRPr="00031ED4">
        <w:rPr>
          <w:rFonts w:asciiTheme="majorHAnsi" w:eastAsia="Times New Roman" w:hAnsiTheme="majorHAnsi" w:cstheme="majorHAnsi"/>
          <w:sz w:val="24"/>
          <w:szCs w:val="24"/>
          <w:vertAlign w:val="superscript"/>
        </w:rPr>
        <w:t>th</w:t>
      </w:r>
      <w:r>
        <w:rPr>
          <w:rFonts w:asciiTheme="majorHAnsi" w:eastAsia="Times New Roman" w:hAnsiTheme="majorHAnsi" w:cstheme="majorHAnsi"/>
          <w:sz w:val="24"/>
          <w:szCs w:val="24"/>
        </w:rPr>
        <w:t xml:space="preserve"> Congress, </w:t>
      </w:r>
      <w:r w:rsidR="0001711E">
        <w:rPr>
          <w:rFonts w:asciiTheme="majorHAnsi" w:eastAsia="Times New Roman" w:hAnsiTheme="majorHAnsi" w:cstheme="majorHAnsi"/>
          <w:sz w:val="24"/>
          <w:szCs w:val="24"/>
        </w:rPr>
        <w:t xml:space="preserve">Sens. Mark Warner and John Thune and </w:t>
      </w:r>
      <w:r>
        <w:rPr>
          <w:rFonts w:asciiTheme="majorHAnsi" w:eastAsia="Times New Roman" w:hAnsiTheme="majorHAnsi" w:cstheme="majorHAnsi"/>
          <w:sz w:val="24"/>
          <w:szCs w:val="24"/>
        </w:rPr>
        <w:t xml:space="preserve">Reps. Scott Peters and Rodney Davis introduced the </w:t>
      </w:r>
      <w:r w:rsidR="00FF307D">
        <w:rPr>
          <w:rFonts w:asciiTheme="majorHAnsi" w:eastAsia="Times New Roman" w:hAnsiTheme="majorHAnsi" w:cstheme="majorHAnsi"/>
          <w:sz w:val="24"/>
          <w:szCs w:val="24"/>
        </w:rPr>
        <w:t>Employer Participation in Repayment Act</w:t>
      </w:r>
      <w:r>
        <w:rPr>
          <w:rFonts w:asciiTheme="majorHAnsi" w:eastAsia="Times New Roman" w:hAnsiTheme="majorHAnsi" w:cstheme="majorHAnsi"/>
          <w:sz w:val="24"/>
          <w:szCs w:val="24"/>
        </w:rPr>
        <w:t>. The bill was supported by 271 members in the House and 64 members in the Senate. The bill</w:t>
      </w:r>
      <w:r w:rsidR="00FF307D">
        <w:rPr>
          <w:rFonts w:asciiTheme="majorHAnsi" w:eastAsia="Times New Roman" w:hAnsiTheme="majorHAnsi" w:cstheme="majorHAnsi"/>
          <w:sz w:val="24"/>
          <w:szCs w:val="24"/>
        </w:rPr>
        <w:t xml:space="preserve"> became law as part of </w:t>
      </w:r>
      <w:r w:rsidR="00FF307D" w:rsidRPr="00867F34">
        <w:rPr>
          <w:rFonts w:asciiTheme="majorHAnsi" w:eastAsia="Times New Roman" w:hAnsiTheme="majorHAnsi" w:cstheme="majorHAnsi"/>
          <w:sz w:val="24"/>
          <w:szCs w:val="24"/>
        </w:rPr>
        <w:t>the </w:t>
      </w:r>
      <w:hyperlink r:id="rId8" w:history="1">
        <w:r w:rsidR="00FF307D" w:rsidRPr="00867F34">
          <w:rPr>
            <w:rStyle w:val="Hyperlink"/>
            <w:rFonts w:asciiTheme="majorHAnsi" w:eastAsia="Times New Roman" w:hAnsiTheme="majorHAnsi" w:cstheme="majorHAnsi"/>
            <w:sz w:val="24"/>
            <w:szCs w:val="24"/>
          </w:rPr>
          <w:t>CARES Act</w:t>
        </w:r>
      </w:hyperlink>
      <w:r w:rsidR="00FF307D" w:rsidRPr="00867F34">
        <w:rPr>
          <w:rFonts w:asciiTheme="majorHAnsi" w:eastAsia="Times New Roman" w:hAnsiTheme="majorHAnsi" w:cstheme="majorHAnsi"/>
          <w:sz w:val="24"/>
          <w:szCs w:val="24"/>
        </w:rPr>
        <w:t> in March 2020 and it received a five-year extension under the </w:t>
      </w:r>
      <w:hyperlink r:id="rId9" w:history="1">
        <w:r w:rsidR="00FF307D" w:rsidRPr="00867F34">
          <w:rPr>
            <w:rStyle w:val="Hyperlink"/>
            <w:rFonts w:asciiTheme="majorHAnsi" w:eastAsia="Times New Roman" w:hAnsiTheme="majorHAnsi" w:cstheme="majorHAnsi"/>
            <w:sz w:val="24"/>
            <w:szCs w:val="24"/>
          </w:rPr>
          <w:t>Fiscal Year 2021 federal spending package</w:t>
        </w:r>
      </w:hyperlink>
      <w:r w:rsidR="00FF307D" w:rsidRPr="00867F34">
        <w:rPr>
          <w:rFonts w:asciiTheme="majorHAnsi" w:eastAsia="Times New Roman" w:hAnsiTheme="majorHAnsi" w:cstheme="majorHAnsi"/>
          <w:sz w:val="24"/>
          <w:szCs w:val="24"/>
        </w:rPr>
        <w:t>. </w:t>
      </w:r>
      <w:r w:rsidR="002827E8">
        <w:rPr>
          <w:rFonts w:asciiTheme="majorHAnsi" w:eastAsia="Times New Roman" w:hAnsiTheme="majorHAnsi" w:cstheme="majorHAnsi"/>
          <w:sz w:val="24"/>
          <w:szCs w:val="24"/>
        </w:rPr>
        <w:t xml:space="preserve">It </w:t>
      </w:r>
      <w:r w:rsidR="00FF307D">
        <w:rPr>
          <w:rFonts w:asciiTheme="majorHAnsi" w:eastAsia="Times New Roman" w:hAnsiTheme="majorHAnsi" w:cstheme="majorHAnsi"/>
          <w:sz w:val="24"/>
          <w:szCs w:val="24"/>
        </w:rPr>
        <w:t>will remain in effect until</w:t>
      </w:r>
      <w:r w:rsidR="000314E8">
        <w:rPr>
          <w:rFonts w:asciiTheme="majorHAnsi" w:eastAsia="Times New Roman" w:hAnsiTheme="majorHAnsi" w:cstheme="majorHAnsi"/>
          <w:sz w:val="24"/>
          <w:szCs w:val="24"/>
        </w:rPr>
        <w:t xml:space="preserve"> January 1</w:t>
      </w:r>
      <w:r w:rsidR="00FF307D">
        <w:rPr>
          <w:rFonts w:asciiTheme="majorHAnsi" w:eastAsia="Times New Roman" w:hAnsiTheme="majorHAnsi" w:cstheme="majorHAnsi"/>
          <w:sz w:val="24"/>
          <w:szCs w:val="24"/>
        </w:rPr>
        <w:t>, 2026</w:t>
      </w:r>
      <w:r w:rsidR="00B8176E">
        <w:rPr>
          <w:rFonts w:asciiTheme="majorHAnsi" w:eastAsia="Times New Roman" w:hAnsiTheme="majorHAnsi" w:cstheme="majorHAnsi"/>
          <w:sz w:val="24"/>
          <w:szCs w:val="24"/>
        </w:rPr>
        <w:t>, when it expires</w:t>
      </w:r>
      <w:r w:rsidR="00FF307D">
        <w:rPr>
          <w:rFonts w:asciiTheme="majorHAnsi" w:eastAsia="Times New Roman" w:hAnsiTheme="majorHAnsi" w:cstheme="majorHAnsi"/>
          <w:sz w:val="24"/>
          <w:szCs w:val="24"/>
        </w:rPr>
        <w:t xml:space="preserve">. </w:t>
      </w:r>
    </w:p>
    <w:p w14:paraId="1874F95B" w14:textId="77777777" w:rsidR="00FF307D" w:rsidRDefault="00FF307D" w:rsidP="002730CD">
      <w:pPr>
        <w:spacing w:after="0" w:line="240" w:lineRule="auto"/>
        <w:rPr>
          <w:rFonts w:asciiTheme="majorHAnsi" w:eastAsia="Times New Roman" w:hAnsiTheme="majorHAnsi" w:cstheme="majorHAnsi"/>
          <w:b/>
          <w:bCs/>
          <w:color w:val="000000"/>
          <w:sz w:val="24"/>
          <w:szCs w:val="24"/>
          <w:u w:val="single"/>
        </w:rPr>
      </w:pPr>
    </w:p>
    <w:p w14:paraId="0377DBA1" w14:textId="77777777" w:rsidR="00FE23A8" w:rsidRPr="002730CD" w:rsidRDefault="00FE23A8" w:rsidP="00FE23A8">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b/>
          <w:bCs/>
          <w:color w:val="000000"/>
          <w:sz w:val="24"/>
          <w:szCs w:val="24"/>
          <w:u w:val="single"/>
        </w:rPr>
        <w:t>What the legislation does</w:t>
      </w:r>
    </w:p>
    <w:p w14:paraId="283151CF" w14:textId="77777777" w:rsidR="00FE23A8" w:rsidRPr="00CC195B" w:rsidRDefault="00FE23A8" w:rsidP="00FE23A8">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color w:val="000000"/>
          <w:sz w:val="24"/>
          <w:szCs w:val="24"/>
        </w:rPr>
        <w:t>The</w:t>
      </w:r>
      <w:r w:rsidRPr="002730CD">
        <w:rPr>
          <w:rFonts w:asciiTheme="majorHAnsi" w:eastAsia="Times New Roman" w:hAnsiTheme="majorHAnsi" w:cstheme="majorHAnsi"/>
          <w:color w:val="000000"/>
          <w:sz w:val="24"/>
          <w:szCs w:val="24"/>
        </w:rPr>
        <w:t xml:space="preserve"> bipartisan</w:t>
      </w:r>
      <w:r>
        <w:rPr>
          <w:rFonts w:asciiTheme="majorHAnsi" w:eastAsia="Times New Roman" w:hAnsiTheme="majorHAnsi" w:cstheme="majorHAnsi"/>
          <w:color w:val="000000"/>
          <w:sz w:val="24"/>
          <w:szCs w:val="24"/>
        </w:rPr>
        <w:t>, bicameral</w:t>
      </w:r>
      <w:r w:rsidRPr="002730CD">
        <w:rPr>
          <w:rFonts w:asciiTheme="majorHAnsi" w:eastAsia="Times New Roman" w:hAnsiTheme="majorHAnsi" w:cstheme="majorHAnsi"/>
          <w:color w:val="000000"/>
          <w:sz w:val="24"/>
          <w:szCs w:val="24"/>
        </w:rPr>
        <w:t xml:space="preserve"> Employer Participation in </w:t>
      </w:r>
      <w:r>
        <w:rPr>
          <w:rFonts w:asciiTheme="majorHAnsi" w:eastAsia="Times New Roman" w:hAnsiTheme="majorHAnsi" w:cstheme="majorHAnsi"/>
          <w:color w:val="000000"/>
          <w:sz w:val="24"/>
          <w:szCs w:val="24"/>
        </w:rPr>
        <w:t>Repayment</w:t>
      </w:r>
      <w:r w:rsidRPr="002730CD">
        <w:rPr>
          <w:rFonts w:asciiTheme="majorHAnsi" w:eastAsia="Times New Roman" w:hAnsiTheme="majorHAnsi" w:cstheme="majorHAnsi"/>
          <w:color w:val="000000"/>
          <w:sz w:val="24"/>
          <w:szCs w:val="24"/>
        </w:rPr>
        <w:t xml:space="preserve"> Act allow</w:t>
      </w:r>
      <w:r>
        <w:rPr>
          <w:rFonts w:asciiTheme="majorHAnsi" w:eastAsia="Times New Roman" w:hAnsiTheme="majorHAnsi" w:cstheme="majorHAnsi"/>
          <w:color w:val="000000"/>
          <w:sz w:val="24"/>
          <w:szCs w:val="24"/>
        </w:rPr>
        <w:t>s</w:t>
      </w:r>
      <w:r w:rsidRPr="002730CD">
        <w:rPr>
          <w:rFonts w:asciiTheme="majorHAnsi" w:eastAsia="Times New Roman" w:hAnsiTheme="majorHAnsi" w:cstheme="majorHAnsi"/>
          <w:color w:val="000000"/>
          <w:sz w:val="24"/>
          <w:szCs w:val="24"/>
        </w:rPr>
        <w:t xml:space="preserve"> employers to offer their employees an annual tax-free benefi</w:t>
      </w:r>
      <w:r>
        <w:rPr>
          <w:rFonts w:asciiTheme="majorHAnsi" w:eastAsia="Times New Roman" w:hAnsiTheme="majorHAnsi" w:cstheme="majorHAnsi"/>
          <w:color w:val="000000"/>
          <w:sz w:val="24"/>
          <w:szCs w:val="24"/>
        </w:rPr>
        <w:t>t of up to $5,250 to assist</w:t>
      </w:r>
      <w:r w:rsidRPr="002730CD">
        <w:rPr>
          <w:rFonts w:asciiTheme="majorHAnsi" w:eastAsia="Times New Roman" w:hAnsiTheme="majorHAnsi" w:cstheme="majorHAnsi"/>
          <w:color w:val="000000"/>
          <w:sz w:val="24"/>
          <w:szCs w:val="24"/>
        </w:rPr>
        <w:t xml:space="preserve"> paying off </w:t>
      </w:r>
      <w:r>
        <w:rPr>
          <w:rFonts w:asciiTheme="majorHAnsi" w:eastAsia="Times New Roman" w:hAnsiTheme="majorHAnsi" w:cstheme="majorHAnsi"/>
          <w:color w:val="000000"/>
          <w:sz w:val="24"/>
          <w:szCs w:val="24"/>
        </w:rPr>
        <w:t xml:space="preserve">an employee’s </w:t>
      </w:r>
      <w:r w:rsidRPr="002730CD">
        <w:rPr>
          <w:rFonts w:asciiTheme="majorHAnsi" w:eastAsia="Times New Roman" w:hAnsiTheme="majorHAnsi" w:cstheme="majorHAnsi"/>
          <w:color w:val="000000"/>
          <w:sz w:val="24"/>
          <w:szCs w:val="24"/>
        </w:rPr>
        <w:t>student loans</w:t>
      </w:r>
      <w:r>
        <w:rPr>
          <w:rFonts w:asciiTheme="majorHAnsi" w:eastAsia="Times New Roman" w:hAnsiTheme="majorHAnsi" w:cstheme="majorHAnsi"/>
          <w:color w:val="000000"/>
          <w:sz w:val="24"/>
          <w:szCs w:val="24"/>
        </w:rPr>
        <w:t xml:space="preserve"> in perpetuity by striking the provision’s expiration date from the tax code</w:t>
      </w:r>
      <w:r w:rsidRPr="002730CD">
        <w:rPr>
          <w:rFonts w:asciiTheme="majorHAnsi" w:eastAsia="Times New Roman" w:hAnsiTheme="majorHAnsi" w:cstheme="majorHAnsi"/>
          <w:color w:val="000000"/>
          <w:sz w:val="24"/>
          <w:szCs w:val="24"/>
        </w:rPr>
        <w:t>. This tax fix works in favor of both employees and employers, as it</w:t>
      </w:r>
      <w:r>
        <w:rPr>
          <w:rFonts w:asciiTheme="majorHAnsi" w:eastAsia="Times New Roman" w:hAnsiTheme="majorHAnsi" w:cstheme="majorHAnsi"/>
          <w:color w:val="000000"/>
          <w:sz w:val="24"/>
          <w:szCs w:val="24"/>
        </w:rPr>
        <w:t xml:space="preserve"> also</w:t>
      </w:r>
      <w:r w:rsidRPr="002730CD">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color w:val="000000"/>
          <w:sz w:val="24"/>
          <w:szCs w:val="24"/>
        </w:rPr>
        <w:t xml:space="preserve">continues to </w:t>
      </w:r>
      <w:r w:rsidRPr="002730CD">
        <w:rPr>
          <w:rFonts w:asciiTheme="majorHAnsi" w:eastAsia="Times New Roman" w:hAnsiTheme="majorHAnsi" w:cstheme="majorHAnsi"/>
          <w:color w:val="000000"/>
          <w:sz w:val="24"/>
          <w:szCs w:val="24"/>
        </w:rPr>
        <w:t>incentivize businesses to address th</w:t>
      </w:r>
      <w:r>
        <w:rPr>
          <w:rFonts w:asciiTheme="majorHAnsi" w:eastAsia="Times New Roman" w:hAnsiTheme="majorHAnsi" w:cstheme="majorHAnsi"/>
          <w:color w:val="000000"/>
          <w:sz w:val="24"/>
          <w:szCs w:val="24"/>
        </w:rPr>
        <w:t>e growing student debt crisis. This legislation provides a</w:t>
      </w:r>
      <w:r w:rsidRPr="002730CD">
        <w:rPr>
          <w:rFonts w:asciiTheme="majorHAnsi" w:eastAsia="Times New Roman" w:hAnsiTheme="majorHAnsi" w:cstheme="majorHAnsi"/>
          <w:color w:val="000000"/>
          <w:sz w:val="24"/>
          <w:szCs w:val="24"/>
        </w:rPr>
        <w:t xml:space="preserve"> crea</w:t>
      </w:r>
      <w:r>
        <w:rPr>
          <w:rFonts w:asciiTheme="majorHAnsi" w:eastAsia="Times New Roman" w:hAnsiTheme="majorHAnsi" w:cstheme="majorHAnsi"/>
          <w:color w:val="000000"/>
          <w:sz w:val="24"/>
          <w:szCs w:val="24"/>
        </w:rPr>
        <w:t>tive, collaborative, and common-</w:t>
      </w:r>
      <w:r w:rsidRPr="002730CD">
        <w:rPr>
          <w:rFonts w:asciiTheme="majorHAnsi" w:eastAsia="Times New Roman" w:hAnsiTheme="majorHAnsi" w:cstheme="majorHAnsi"/>
          <w:color w:val="000000"/>
          <w:sz w:val="24"/>
          <w:szCs w:val="24"/>
        </w:rPr>
        <w:t>sense solution to the serious student loan debt crisis and unites stakeholders across the political and financial spectr</w:t>
      </w:r>
      <w:r>
        <w:rPr>
          <w:rFonts w:asciiTheme="majorHAnsi" w:eastAsia="Times New Roman" w:hAnsiTheme="majorHAnsi" w:cstheme="majorHAnsi"/>
          <w:color w:val="000000"/>
          <w:sz w:val="24"/>
          <w:szCs w:val="24"/>
        </w:rPr>
        <w:t>um</w:t>
      </w:r>
      <w:r w:rsidRPr="002730CD">
        <w:rPr>
          <w:rFonts w:asciiTheme="majorHAnsi" w:eastAsia="Times New Roman" w:hAnsiTheme="majorHAnsi" w:cstheme="majorHAnsi"/>
          <w:color w:val="000000"/>
          <w:sz w:val="24"/>
          <w:szCs w:val="24"/>
        </w:rPr>
        <w:t xml:space="preserve">. </w:t>
      </w:r>
    </w:p>
    <w:p w14:paraId="0FF34A58" w14:textId="77777777" w:rsidR="00FE23A8" w:rsidRDefault="00FE23A8" w:rsidP="002730CD">
      <w:pPr>
        <w:spacing w:after="0" w:line="240" w:lineRule="auto"/>
        <w:rPr>
          <w:rFonts w:asciiTheme="majorHAnsi" w:eastAsia="Times New Roman" w:hAnsiTheme="majorHAnsi" w:cstheme="majorHAnsi"/>
          <w:b/>
          <w:bCs/>
          <w:color w:val="000000"/>
          <w:sz w:val="24"/>
          <w:szCs w:val="24"/>
          <w:u w:val="single"/>
        </w:rPr>
      </w:pPr>
    </w:p>
    <w:p w14:paraId="6C817F30" w14:textId="50D1B762" w:rsidR="002730CD" w:rsidRPr="002730CD" w:rsidRDefault="002730CD" w:rsidP="002730CD">
      <w:pPr>
        <w:spacing w:after="0" w:line="240" w:lineRule="auto"/>
        <w:rPr>
          <w:rFonts w:asciiTheme="majorHAnsi" w:eastAsia="Times New Roman" w:hAnsiTheme="majorHAnsi" w:cstheme="majorHAnsi"/>
          <w:sz w:val="24"/>
          <w:szCs w:val="24"/>
        </w:rPr>
      </w:pPr>
      <w:r w:rsidRPr="002730CD">
        <w:rPr>
          <w:rFonts w:asciiTheme="majorHAnsi" w:eastAsia="Times New Roman" w:hAnsiTheme="majorHAnsi" w:cstheme="majorHAnsi"/>
          <w:b/>
          <w:bCs/>
          <w:color w:val="000000"/>
          <w:sz w:val="24"/>
          <w:szCs w:val="24"/>
          <w:u w:val="single"/>
        </w:rPr>
        <w:t>The Problem</w:t>
      </w:r>
    </w:p>
    <w:p w14:paraId="3EF940B6" w14:textId="17E801CF" w:rsidR="002730CD" w:rsidRPr="002730CD" w:rsidRDefault="002730CD" w:rsidP="002730CD">
      <w:pPr>
        <w:spacing w:after="0" w:line="240" w:lineRule="auto"/>
        <w:rPr>
          <w:rFonts w:asciiTheme="majorHAnsi" w:eastAsia="Times New Roman" w:hAnsiTheme="majorHAnsi" w:cstheme="majorHAnsi"/>
          <w:sz w:val="24"/>
          <w:szCs w:val="24"/>
        </w:rPr>
      </w:pPr>
      <w:r w:rsidRPr="002730CD">
        <w:rPr>
          <w:rFonts w:asciiTheme="majorHAnsi" w:eastAsia="Times New Roman" w:hAnsiTheme="majorHAnsi" w:cstheme="majorHAnsi"/>
          <w:color w:val="000000"/>
          <w:sz w:val="24"/>
          <w:szCs w:val="24"/>
        </w:rPr>
        <w:t>The student debt crisis in the United States is reaching unprecedented level</w:t>
      </w:r>
      <w:r w:rsidR="00453C86">
        <w:rPr>
          <w:rFonts w:asciiTheme="majorHAnsi" w:eastAsia="Times New Roman" w:hAnsiTheme="majorHAnsi" w:cstheme="majorHAnsi"/>
          <w:color w:val="000000"/>
          <w:sz w:val="24"/>
          <w:szCs w:val="24"/>
        </w:rPr>
        <w:t xml:space="preserve">s, as total debt now totals </w:t>
      </w:r>
      <w:r w:rsidR="000314E8">
        <w:rPr>
          <w:rFonts w:asciiTheme="majorHAnsi" w:eastAsia="Times New Roman" w:hAnsiTheme="majorHAnsi" w:cstheme="majorHAnsi"/>
          <w:color w:val="000000"/>
          <w:sz w:val="24"/>
          <w:szCs w:val="24"/>
        </w:rPr>
        <w:t xml:space="preserve">over </w:t>
      </w:r>
      <w:r w:rsidR="00453C86">
        <w:rPr>
          <w:rFonts w:asciiTheme="majorHAnsi" w:eastAsia="Times New Roman" w:hAnsiTheme="majorHAnsi" w:cstheme="majorHAnsi"/>
          <w:color w:val="000000"/>
          <w:sz w:val="24"/>
          <w:szCs w:val="24"/>
        </w:rPr>
        <w:t>$1.</w:t>
      </w:r>
      <w:r w:rsidR="00275EBC">
        <w:rPr>
          <w:rFonts w:asciiTheme="majorHAnsi" w:eastAsia="Times New Roman" w:hAnsiTheme="majorHAnsi" w:cstheme="majorHAnsi"/>
          <w:color w:val="000000"/>
          <w:sz w:val="24"/>
          <w:szCs w:val="24"/>
        </w:rPr>
        <w:t>77</w:t>
      </w:r>
      <w:r w:rsidR="00453C86">
        <w:rPr>
          <w:rFonts w:asciiTheme="majorHAnsi" w:eastAsia="Times New Roman" w:hAnsiTheme="majorHAnsi" w:cstheme="majorHAnsi"/>
          <w:color w:val="000000"/>
          <w:sz w:val="24"/>
          <w:szCs w:val="24"/>
        </w:rPr>
        <w:t xml:space="preserve"> trillion, held by </w:t>
      </w:r>
      <w:r w:rsidR="000314E8">
        <w:rPr>
          <w:rFonts w:asciiTheme="majorHAnsi" w:eastAsia="Times New Roman" w:hAnsiTheme="majorHAnsi" w:cstheme="majorHAnsi"/>
          <w:color w:val="000000"/>
          <w:sz w:val="24"/>
          <w:szCs w:val="24"/>
        </w:rPr>
        <w:t>nearly 44 million</w:t>
      </w:r>
      <w:r w:rsidRPr="002730CD">
        <w:rPr>
          <w:rFonts w:asciiTheme="majorHAnsi" w:eastAsia="Times New Roman" w:hAnsiTheme="majorHAnsi" w:cstheme="majorHAnsi"/>
          <w:color w:val="000000"/>
          <w:sz w:val="24"/>
          <w:szCs w:val="24"/>
        </w:rPr>
        <w:t xml:space="preserve"> Americans</w:t>
      </w:r>
      <w:r w:rsidR="000314E8">
        <w:rPr>
          <w:rFonts w:asciiTheme="majorHAnsi" w:eastAsia="Times New Roman" w:hAnsiTheme="majorHAnsi" w:cstheme="majorHAnsi"/>
          <w:color w:val="000000"/>
          <w:sz w:val="24"/>
          <w:szCs w:val="24"/>
        </w:rPr>
        <w:t xml:space="preserve">, according to the </w:t>
      </w:r>
      <w:r w:rsidR="0058379D">
        <w:rPr>
          <w:rFonts w:asciiTheme="majorHAnsi" w:eastAsia="Times New Roman" w:hAnsiTheme="majorHAnsi" w:cstheme="majorHAnsi"/>
          <w:color w:val="000000"/>
          <w:sz w:val="24"/>
          <w:szCs w:val="24"/>
        </w:rPr>
        <w:t xml:space="preserve">latest quarterly report from the Federal Reserve and the </w:t>
      </w:r>
      <w:r w:rsidR="000314E8">
        <w:rPr>
          <w:rFonts w:asciiTheme="majorHAnsi" w:eastAsia="Times New Roman" w:hAnsiTheme="majorHAnsi" w:cstheme="majorHAnsi"/>
          <w:color w:val="000000"/>
          <w:sz w:val="24"/>
          <w:szCs w:val="24"/>
        </w:rPr>
        <w:t>Office of Federal Student Aid at the Department of Education</w:t>
      </w:r>
      <w:r w:rsidRPr="002730CD">
        <w:rPr>
          <w:rFonts w:asciiTheme="majorHAnsi" w:eastAsia="Times New Roman" w:hAnsiTheme="majorHAnsi" w:cstheme="majorHAnsi"/>
          <w:color w:val="000000"/>
          <w:sz w:val="24"/>
          <w:szCs w:val="24"/>
        </w:rPr>
        <w:t xml:space="preserve">. Student debt </w:t>
      </w:r>
      <w:r w:rsidR="00D455C4">
        <w:rPr>
          <w:rFonts w:asciiTheme="majorHAnsi" w:eastAsia="Times New Roman" w:hAnsiTheme="majorHAnsi" w:cstheme="majorHAnsi"/>
          <w:color w:val="000000"/>
          <w:sz w:val="24"/>
          <w:szCs w:val="24"/>
        </w:rPr>
        <w:t>causes</w:t>
      </w:r>
      <w:r w:rsidRPr="002730CD">
        <w:rPr>
          <w:rFonts w:asciiTheme="majorHAnsi" w:eastAsia="Times New Roman" w:hAnsiTheme="majorHAnsi" w:cstheme="majorHAnsi"/>
          <w:color w:val="000000"/>
          <w:sz w:val="24"/>
          <w:szCs w:val="24"/>
        </w:rPr>
        <w:t xml:space="preserve"> </w:t>
      </w:r>
      <w:r w:rsidR="002827E8">
        <w:rPr>
          <w:rFonts w:asciiTheme="majorHAnsi" w:eastAsia="Times New Roman" w:hAnsiTheme="majorHAnsi" w:cstheme="majorHAnsi"/>
          <w:color w:val="000000"/>
          <w:sz w:val="24"/>
          <w:szCs w:val="24"/>
        </w:rPr>
        <w:t>borrowers</w:t>
      </w:r>
      <w:r w:rsidRPr="002730CD">
        <w:rPr>
          <w:rFonts w:asciiTheme="majorHAnsi" w:eastAsia="Times New Roman" w:hAnsiTheme="majorHAnsi" w:cstheme="majorHAnsi"/>
          <w:color w:val="000000"/>
          <w:sz w:val="24"/>
          <w:szCs w:val="24"/>
        </w:rPr>
        <w:t xml:space="preserve"> to postpone major milestones, such as buying a home or saving </w:t>
      </w:r>
      <w:r>
        <w:rPr>
          <w:rFonts w:asciiTheme="majorHAnsi" w:eastAsia="Times New Roman" w:hAnsiTheme="majorHAnsi" w:cstheme="majorHAnsi"/>
          <w:color w:val="000000"/>
          <w:sz w:val="24"/>
          <w:szCs w:val="24"/>
        </w:rPr>
        <w:t>for retirement, imped</w:t>
      </w:r>
      <w:r w:rsidRPr="002730CD">
        <w:rPr>
          <w:rFonts w:asciiTheme="majorHAnsi" w:eastAsia="Times New Roman" w:hAnsiTheme="majorHAnsi" w:cstheme="majorHAnsi"/>
          <w:color w:val="000000"/>
          <w:sz w:val="24"/>
          <w:szCs w:val="24"/>
        </w:rPr>
        <w:t xml:space="preserve">ing </w:t>
      </w:r>
      <w:r w:rsidR="00D455C4">
        <w:rPr>
          <w:rFonts w:asciiTheme="majorHAnsi" w:eastAsia="Times New Roman" w:hAnsiTheme="majorHAnsi" w:cstheme="majorHAnsi"/>
          <w:color w:val="000000"/>
          <w:sz w:val="24"/>
          <w:szCs w:val="24"/>
        </w:rPr>
        <w:t xml:space="preserve">economic growth and security. </w:t>
      </w:r>
      <w:r w:rsidR="002827E8">
        <w:rPr>
          <w:rFonts w:asciiTheme="majorHAnsi" w:eastAsia="Times New Roman" w:hAnsiTheme="majorHAnsi" w:cstheme="majorHAnsi"/>
          <w:color w:val="000000"/>
          <w:sz w:val="24"/>
          <w:szCs w:val="24"/>
        </w:rPr>
        <w:t>Since 2020, this benefit has been a crucial tool for employees in the process of repaying their loans and employers who utilize it as an invaluable recruitment and retention tool. However, the provision is set to expire on January 1, 2026, without further action.</w:t>
      </w:r>
    </w:p>
    <w:p w14:paraId="7B344BB9" w14:textId="77777777" w:rsidR="002730CD" w:rsidRPr="002730CD" w:rsidRDefault="002730CD" w:rsidP="002730CD">
      <w:pPr>
        <w:spacing w:after="0" w:line="240" w:lineRule="auto"/>
        <w:rPr>
          <w:rFonts w:asciiTheme="majorHAnsi" w:eastAsia="Times New Roman" w:hAnsiTheme="majorHAnsi" w:cstheme="majorHAnsi"/>
          <w:sz w:val="24"/>
          <w:szCs w:val="24"/>
        </w:rPr>
      </w:pPr>
    </w:p>
    <w:p w14:paraId="2049EE99" w14:textId="3A1958DC" w:rsidR="002730CD" w:rsidRPr="002730CD" w:rsidRDefault="002730CD" w:rsidP="002730CD">
      <w:pPr>
        <w:spacing w:after="0" w:line="240" w:lineRule="auto"/>
        <w:rPr>
          <w:rFonts w:asciiTheme="majorHAnsi" w:eastAsia="Times New Roman" w:hAnsiTheme="majorHAnsi" w:cstheme="majorHAnsi"/>
          <w:sz w:val="24"/>
          <w:szCs w:val="24"/>
        </w:rPr>
      </w:pPr>
      <w:r w:rsidRPr="002730CD">
        <w:rPr>
          <w:rFonts w:asciiTheme="majorHAnsi" w:eastAsia="Times New Roman" w:hAnsiTheme="majorHAnsi" w:cstheme="majorHAnsi"/>
          <w:b/>
          <w:bCs/>
          <w:color w:val="000000"/>
          <w:sz w:val="24"/>
          <w:szCs w:val="24"/>
          <w:u w:val="single"/>
        </w:rPr>
        <w:t xml:space="preserve">The </w:t>
      </w:r>
      <w:r w:rsidR="00FF307D">
        <w:rPr>
          <w:rFonts w:asciiTheme="majorHAnsi" w:eastAsia="Times New Roman" w:hAnsiTheme="majorHAnsi" w:cstheme="majorHAnsi"/>
          <w:b/>
          <w:bCs/>
          <w:color w:val="000000"/>
          <w:sz w:val="24"/>
          <w:szCs w:val="24"/>
          <w:u w:val="single"/>
        </w:rPr>
        <w:t>Opportunity</w:t>
      </w:r>
    </w:p>
    <w:p w14:paraId="74FC2614" w14:textId="579E621C" w:rsidR="002730CD" w:rsidRPr="00E30A31" w:rsidRDefault="00D455C4" w:rsidP="002730CD">
      <w:pPr>
        <w:spacing w:after="0" w:line="240" w:lineRule="auto"/>
        <w:rPr>
          <w:rFonts w:asciiTheme="majorHAnsi" w:eastAsia="Times New Roman" w:hAnsiTheme="majorHAnsi" w:cstheme="majorHAnsi"/>
          <w:color w:val="000000"/>
          <w:sz w:val="24"/>
          <w:szCs w:val="24"/>
        </w:rPr>
      </w:pPr>
      <w:r w:rsidRPr="00D455C4">
        <w:rPr>
          <w:rFonts w:asciiTheme="majorHAnsi" w:eastAsia="Times New Roman" w:hAnsiTheme="majorHAnsi" w:cstheme="majorHAnsi"/>
          <w:color w:val="000000"/>
          <w:sz w:val="24"/>
          <w:szCs w:val="24"/>
        </w:rPr>
        <w:t>As student loan debt increases, more employers have begun to offer tuition and debt assistance as an employment benefit. Given their increasing debt load, employees particularl</w:t>
      </w:r>
      <w:r>
        <w:rPr>
          <w:rFonts w:asciiTheme="majorHAnsi" w:eastAsia="Times New Roman" w:hAnsiTheme="majorHAnsi" w:cstheme="majorHAnsi"/>
          <w:color w:val="000000"/>
          <w:sz w:val="24"/>
          <w:szCs w:val="24"/>
        </w:rPr>
        <w:t>y prize these kinds of benefits</w:t>
      </w:r>
      <w:r w:rsidR="00BB550A">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 xml:space="preserve"> </w:t>
      </w:r>
      <w:r w:rsidR="00503B27">
        <w:rPr>
          <w:rFonts w:asciiTheme="majorHAnsi" w:eastAsia="Times New Roman" w:hAnsiTheme="majorHAnsi" w:cstheme="majorHAnsi"/>
          <w:color w:val="000000"/>
          <w:sz w:val="24"/>
          <w:szCs w:val="24"/>
        </w:rPr>
        <w:t xml:space="preserve">45% of workers consider student loan repayment assistance the single most important </w:t>
      </w:r>
      <w:r w:rsidR="00503B27" w:rsidRPr="00503B27">
        <w:rPr>
          <w:rFonts w:asciiTheme="majorHAnsi" w:eastAsia="Times New Roman" w:hAnsiTheme="majorHAnsi" w:cstheme="majorHAnsi"/>
          <w:color w:val="000000"/>
          <w:sz w:val="24"/>
          <w:szCs w:val="24"/>
        </w:rPr>
        <w:t>employee benefit, even ranking it higher than additional retirement and health care contributions</w:t>
      </w:r>
      <w:r w:rsidR="00BB550A">
        <w:rPr>
          <w:rFonts w:asciiTheme="majorHAnsi" w:eastAsia="Times New Roman" w:hAnsiTheme="majorHAnsi" w:cstheme="majorHAnsi"/>
          <w:color w:val="000000"/>
          <w:sz w:val="24"/>
          <w:szCs w:val="24"/>
        </w:rPr>
        <w:t>.</w:t>
      </w:r>
      <w:r w:rsidR="00620161">
        <w:rPr>
          <w:rStyle w:val="FootnoteReference"/>
          <w:rFonts w:asciiTheme="majorHAnsi" w:eastAsia="Times New Roman" w:hAnsiTheme="majorHAnsi" w:cstheme="majorHAnsi"/>
          <w:color w:val="000000"/>
          <w:sz w:val="24"/>
          <w:szCs w:val="24"/>
        </w:rPr>
        <w:footnoteReference w:id="1"/>
      </w:r>
      <w:r w:rsidR="00E30A31">
        <w:rPr>
          <w:rFonts w:asciiTheme="majorHAnsi" w:eastAsia="Times New Roman" w:hAnsiTheme="majorHAnsi" w:cstheme="majorHAnsi"/>
          <w:color w:val="000000"/>
          <w:sz w:val="24"/>
          <w:szCs w:val="24"/>
        </w:rPr>
        <w:t xml:space="preserve"> </w:t>
      </w:r>
      <w:r w:rsidR="00503B27">
        <w:rPr>
          <w:rFonts w:asciiTheme="majorHAnsi" w:eastAsia="Times New Roman" w:hAnsiTheme="majorHAnsi" w:cstheme="majorHAnsi"/>
          <w:color w:val="000000"/>
          <w:sz w:val="24"/>
          <w:szCs w:val="24"/>
        </w:rPr>
        <w:t>5</w:t>
      </w:r>
      <w:r w:rsidRPr="00D455C4">
        <w:rPr>
          <w:rFonts w:asciiTheme="majorHAnsi" w:eastAsia="Times New Roman" w:hAnsiTheme="majorHAnsi" w:cstheme="majorHAnsi"/>
          <w:color w:val="000000"/>
          <w:sz w:val="24"/>
          <w:szCs w:val="24"/>
        </w:rPr>
        <w:t>4% of employees between the ages of 18 and 24 would rather have student loan repayment assistance than a 401k</w:t>
      </w:r>
      <w:r>
        <w:rPr>
          <w:rFonts w:asciiTheme="majorHAnsi" w:eastAsia="Times New Roman" w:hAnsiTheme="majorHAnsi" w:cstheme="majorHAnsi"/>
          <w:color w:val="000000"/>
          <w:sz w:val="24"/>
          <w:szCs w:val="24"/>
        </w:rPr>
        <w:t>, and</w:t>
      </w:r>
      <w:r w:rsidRPr="00D455C4">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color w:val="000000"/>
          <w:sz w:val="24"/>
          <w:szCs w:val="24"/>
        </w:rPr>
        <w:t>53% of employees say</w:t>
      </w:r>
      <w:r w:rsidRPr="00D455C4">
        <w:rPr>
          <w:rFonts w:asciiTheme="majorHAnsi" w:eastAsia="Times New Roman" w:hAnsiTheme="majorHAnsi" w:cstheme="majorHAnsi"/>
          <w:color w:val="000000"/>
          <w:sz w:val="24"/>
          <w:szCs w:val="24"/>
        </w:rPr>
        <w:t xml:space="preserve"> they would </w:t>
      </w:r>
      <w:r w:rsidR="008937B7" w:rsidRPr="00D455C4">
        <w:rPr>
          <w:rFonts w:asciiTheme="majorHAnsi" w:eastAsia="Times New Roman" w:hAnsiTheme="majorHAnsi" w:cstheme="majorHAnsi"/>
          <w:color w:val="000000"/>
          <w:sz w:val="24"/>
          <w:szCs w:val="24"/>
        </w:rPr>
        <w:t>prefer</w:t>
      </w:r>
      <w:r w:rsidRPr="00D455C4">
        <w:rPr>
          <w:rFonts w:asciiTheme="majorHAnsi" w:eastAsia="Times New Roman" w:hAnsiTheme="majorHAnsi" w:cstheme="majorHAnsi"/>
          <w:color w:val="000000"/>
          <w:sz w:val="24"/>
          <w:szCs w:val="24"/>
        </w:rPr>
        <w:t xml:space="preserve"> student loan repayment assistance over additional vacation.</w:t>
      </w:r>
      <w:r w:rsidR="00620161">
        <w:rPr>
          <w:rStyle w:val="FootnoteReference"/>
          <w:rFonts w:asciiTheme="majorHAnsi" w:eastAsia="Times New Roman" w:hAnsiTheme="majorHAnsi" w:cstheme="majorHAnsi"/>
          <w:color w:val="000000"/>
          <w:sz w:val="24"/>
          <w:szCs w:val="24"/>
        </w:rPr>
        <w:footnoteReference w:id="2"/>
      </w:r>
      <w:r>
        <w:rPr>
          <w:rFonts w:asciiTheme="majorHAnsi" w:eastAsia="Times New Roman" w:hAnsiTheme="majorHAnsi" w:cstheme="majorHAnsi"/>
          <w:color w:val="000000"/>
          <w:sz w:val="24"/>
          <w:szCs w:val="24"/>
        </w:rPr>
        <w:t xml:space="preserve"> Evidently, s</w:t>
      </w:r>
      <w:r w:rsidR="002730CD" w:rsidRPr="002730CD">
        <w:rPr>
          <w:rFonts w:asciiTheme="majorHAnsi" w:eastAsia="Times New Roman" w:hAnsiTheme="majorHAnsi" w:cstheme="majorHAnsi"/>
          <w:color w:val="000000"/>
          <w:sz w:val="24"/>
          <w:szCs w:val="24"/>
        </w:rPr>
        <w:t xml:space="preserve">tudent loan repayment assistance is a powerful tool </w:t>
      </w:r>
      <w:r>
        <w:rPr>
          <w:rFonts w:asciiTheme="majorHAnsi" w:eastAsia="Times New Roman" w:hAnsiTheme="majorHAnsi" w:cstheme="majorHAnsi"/>
          <w:color w:val="000000"/>
          <w:sz w:val="24"/>
          <w:szCs w:val="24"/>
        </w:rPr>
        <w:t>to recruit and retain employees</w:t>
      </w:r>
      <w:r w:rsidR="00BB550A">
        <w:rPr>
          <w:rFonts w:asciiTheme="majorHAnsi" w:eastAsia="Times New Roman" w:hAnsiTheme="majorHAnsi" w:cstheme="majorHAnsi"/>
          <w:color w:val="000000"/>
          <w:sz w:val="24"/>
          <w:szCs w:val="24"/>
        </w:rPr>
        <w:t>. By making student loan repayment assistance tax-exempt for employees in perpetuity</w:t>
      </w:r>
      <w:r w:rsidR="002730CD" w:rsidRPr="002730CD">
        <w:rPr>
          <w:rFonts w:asciiTheme="majorHAnsi" w:eastAsia="Times New Roman" w:hAnsiTheme="majorHAnsi" w:cstheme="majorHAnsi"/>
          <w:color w:val="000000"/>
          <w:sz w:val="24"/>
          <w:szCs w:val="24"/>
        </w:rPr>
        <w:t xml:space="preserve">, businesses will have more ways to competitively recruit and retain the most talented employees while also making higher education more affordable and accessible. </w:t>
      </w:r>
      <w:r w:rsidR="00965BA9">
        <w:rPr>
          <w:rFonts w:asciiTheme="majorHAnsi" w:eastAsia="Times New Roman" w:hAnsiTheme="majorHAnsi" w:cstheme="majorHAnsi"/>
          <w:color w:val="000000"/>
          <w:sz w:val="24"/>
          <w:szCs w:val="24"/>
        </w:rPr>
        <w:t xml:space="preserve">Student loan repayment should be </w:t>
      </w:r>
      <w:r w:rsidR="00BB550A">
        <w:rPr>
          <w:rFonts w:asciiTheme="majorHAnsi" w:eastAsia="Times New Roman" w:hAnsiTheme="majorHAnsi" w:cstheme="majorHAnsi"/>
          <w:color w:val="000000"/>
          <w:sz w:val="24"/>
          <w:szCs w:val="24"/>
        </w:rPr>
        <w:t xml:space="preserve">permanently </w:t>
      </w:r>
      <w:r w:rsidR="00965BA9">
        <w:rPr>
          <w:rFonts w:asciiTheme="majorHAnsi" w:eastAsia="Times New Roman" w:hAnsiTheme="majorHAnsi" w:cstheme="majorHAnsi"/>
          <w:color w:val="000000"/>
          <w:sz w:val="24"/>
          <w:szCs w:val="24"/>
        </w:rPr>
        <w:t>tax-exempt just like tuition assistance</w:t>
      </w:r>
      <w:r w:rsidR="00453C86">
        <w:rPr>
          <w:rFonts w:asciiTheme="majorHAnsi" w:eastAsia="Times New Roman" w:hAnsiTheme="majorHAnsi" w:cstheme="majorHAnsi"/>
          <w:color w:val="000000"/>
          <w:sz w:val="24"/>
          <w:szCs w:val="24"/>
        </w:rPr>
        <w:t>,</w:t>
      </w:r>
      <w:r w:rsidR="00965BA9">
        <w:rPr>
          <w:rFonts w:asciiTheme="majorHAnsi" w:eastAsia="Times New Roman" w:hAnsiTheme="majorHAnsi" w:cstheme="majorHAnsi"/>
          <w:color w:val="000000"/>
          <w:sz w:val="24"/>
          <w:szCs w:val="24"/>
        </w:rPr>
        <w:t xml:space="preserve"> and other benefits employers offer. </w:t>
      </w:r>
    </w:p>
    <w:p w14:paraId="084DCD79" w14:textId="77777777" w:rsidR="002730CD" w:rsidRPr="002730CD" w:rsidRDefault="002730CD" w:rsidP="002730CD">
      <w:pPr>
        <w:spacing w:after="0" w:line="240" w:lineRule="auto"/>
        <w:rPr>
          <w:rFonts w:asciiTheme="majorHAnsi" w:eastAsia="Times New Roman" w:hAnsiTheme="majorHAnsi" w:cstheme="majorHAnsi"/>
          <w:sz w:val="24"/>
          <w:szCs w:val="24"/>
        </w:rPr>
      </w:pPr>
    </w:p>
    <w:sectPr w:rsidR="002730CD" w:rsidRPr="002730CD" w:rsidSect="000C7836">
      <w:pgSz w:w="12240" w:h="15840"/>
      <w:pgMar w:top="864" w:right="1080" w:bottom="864" w:left="1080" w:header="720" w:footer="720" w:gutter="0"/>
      <w:pgBorders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EC130" w14:textId="77777777" w:rsidR="000E0D65" w:rsidRDefault="000E0D65" w:rsidP="000E0D65">
      <w:pPr>
        <w:spacing w:after="0" w:line="240" w:lineRule="auto"/>
      </w:pPr>
      <w:r>
        <w:separator/>
      </w:r>
    </w:p>
  </w:endnote>
  <w:endnote w:type="continuationSeparator" w:id="0">
    <w:p w14:paraId="04C8E58F" w14:textId="77777777" w:rsidR="000E0D65" w:rsidRDefault="000E0D65" w:rsidP="000E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0A5F1" w14:textId="77777777" w:rsidR="000E0D65" w:rsidRDefault="000E0D65" w:rsidP="000E0D65">
      <w:pPr>
        <w:spacing w:after="0" w:line="240" w:lineRule="auto"/>
      </w:pPr>
      <w:r>
        <w:separator/>
      </w:r>
    </w:p>
  </w:footnote>
  <w:footnote w:type="continuationSeparator" w:id="0">
    <w:p w14:paraId="486245C3" w14:textId="77777777" w:rsidR="000E0D65" w:rsidRDefault="000E0D65" w:rsidP="000E0D65">
      <w:pPr>
        <w:spacing w:after="0" w:line="240" w:lineRule="auto"/>
      </w:pPr>
      <w:r>
        <w:continuationSeparator/>
      </w:r>
    </w:p>
  </w:footnote>
  <w:footnote w:id="1">
    <w:p w14:paraId="5B7A81C8" w14:textId="67AFA01D" w:rsidR="00620161" w:rsidRDefault="00620161">
      <w:pPr>
        <w:pStyle w:val="FootnoteText"/>
      </w:pPr>
      <w:r>
        <w:rPr>
          <w:rStyle w:val="FootnoteReference"/>
        </w:rPr>
        <w:footnoteRef/>
      </w:r>
      <w:r>
        <w:t xml:space="preserve"> </w:t>
      </w:r>
      <w:r>
        <w:rPr>
          <w:rFonts w:asciiTheme="majorHAnsi" w:hAnsiTheme="majorHAnsi" w:cs="Times New Roman"/>
          <w:sz w:val="18"/>
          <w:szCs w:val="18"/>
        </w:rPr>
        <w:t xml:space="preserve">“Student Loan Repayment Assistance: Aligning Workplace Benefits With Employee Priorities.” </w:t>
      </w:r>
      <w:r>
        <w:rPr>
          <w:rFonts w:asciiTheme="majorHAnsi" w:hAnsiTheme="majorHAnsi" w:cs="Times New Roman"/>
          <w:i/>
          <w:iCs/>
          <w:sz w:val="18"/>
          <w:szCs w:val="18"/>
        </w:rPr>
        <w:t>Nasdaq</w:t>
      </w:r>
      <w:r>
        <w:rPr>
          <w:rFonts w:asciiTheme="majorHAnsi" w:hAnsiTheme="majorHAnsi" w:cs="Times New Roman"/>
          <w:sz w:val="18"/>
          <w:szCs w:val="18"/>
        </w:rPr>
        <w:t xml:space="preserve">. Vestwell. 26 Jan. 2024. Web. </w:t>
      </w:r>
      <w:hyperlink r:id="rId1" w:history="1">
        <w:r>
          <w:rPr>
            <w:rStyle w:val="Hyperlink"/>
            <w:rFonts w:asciiTheme="majorHAnsi" w:hAnsiTheme="majorHAnsi" w:cs="Times New Roman"/>
            <w:sz w:val="18"/>
            <w:szCs w:val="18"/>
          </w:rPr>
          <w:t>https://www.nasdaq.com/articles/student-loan-repayment-assistance-aligning-workplace-benefits-with-employee-priorities</w:t>
        </w:r>
      </w:hyperlink>
    </w:p>
  </w:footnote>
  <w:footnote w:id="2">
    <w:p w14:paraId="10F2E46D" w14:textId="7DCC803E" w:rsidR="00620161" w:rsidRDefault="00620161" w:rsidP="00620161">
      <w:pPr>
        <w:spacing w:after="0" w:line="240" w:lineRule="auto"/>
        <w:rPr>
          <w:rFonts w:asciiTheme="majorHAnsi" w:hAnsiTheme="majorHAnsi"/>
          <w:sz w:val="18"/>
          <w:szCs w:val="18"/>
        </w:rPr>
      </w:pPr>
      <w:r>
        <w:rPr>
          <w:rStyle w:val="FootnoteReference"/>
        </w:rPr>
        <w:footnoteRef/>
      </w:r>
      <w:r>
        <w:t xml:space="preserve"> </w:t>
      </w:r>
      <w:r>
        <w:rPr>
          <w:rFonts w:asciiTheme="majorHAnsi" w:hAnsiTheme="majorHAnsi" w:cs="Times New Roman"/>
          <w:sz w:val="18"/>
          <w:szCs w:val="18"/>
        </w:rPr>
        <w:t xml:space="preserve">"More Companies Need to Offer Student Loan Help According to the Results of This New Survey." </w:t>
      </w:r>
      <w:r>
        <w:rPr>
          <w:rFonts w:asciiTheme="majorHAnsi" w:hAnsiTheme="majorHAnsi" w:cs="Times New Roman"/>
          <w:i/>
          <w:sz w:val="18"/>
          <w:szCs w:val="18"/>
        </w:rPr>
        <w:t>Student Loan Hero</w:t>
      </w:r>
      <w:r>
        <w:rPr>
          <w:rFonts w:asciiTheme="majorHAnsi" w:hAnsiTheme="majorHAnsi" w:cs="Times New Roman"/>
          <w:sz w:val="18"/>
          <w:szCs w:val="18"/>
        </w:rPr>
        <w:t xml:space="preserve">. N.p., 21 Nov. 2016. Web. 19 July 2017. </w:t>
      </w:r>
      <w:hyperlink r:id="rId2" w:history="1">
        <w:r>
          <w:rPr>
            <w:rStyle w:val="Hyperlink"/>
            <w:rFonts w:asciiTheme="majorHAnsi" w:hAnsiTheme="majorHAnsi" w:cs="Times New Roman"/>
            <w:sz w:val="18"/>
            <w:szCs w:val="18"/>
          </w:rPr>
          <w:t>https://studentloanhero.com/featured/employer-sponsored-student-loan-repayment-assistance-survey-results-2016/</w:t>
        </w:r>
      </w:hyperlink>
      <w:r>
        <w:rPr>
          <w:rFonts w:asciiTheme="majorHAnsi" w:hAnsiTheme="majorHAnsi" w:cs="Times New Roman"/>
          <w:sz w:val="18"/>
          <w:szCs w:val="18"/>
        </w:rPr>
        <w:t xml:space="preserve"> </w:t>
      </w:r>
    </w:p>
    <w:p w14:paraId="7226A363" w14:textId="5131F5A6" w:rsidR="00620161" w:rsidRDefault="0062016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7D5E"/>
    <w:multiLevelType w:val="hybridMultilevel"/>
    <w:tmpl w:val="28022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2MrewNLWwMDQzNDZS0lEKTi0uzszPAykwrAUAP7DsniwAAAA="/>
  </w:docVars>
  <w:rsids>
    <w:rsidRoot w:val="002730CD"/>
    <w:rsid w:val="0001711E"/>
    <w:rsid w:val="000240CD"/>
    <w:rsid w:val="000314E8"/>
    <w:rsid w:val="00031ED4"/>
    <w:rsid w:val="00036C7E"/>
    <w:rsid w:val="000B1627"/>
    <w:rsid w:val="000C7836"/>
    <w:rsid w:val="000E0D65"/>
    <w:rsid w:val="001376FE"/>
    <w:rsid w:val="00147C8B"/>
    <w:rsid w:val="00187329"/>
    <w:rsid w:val="002225EA"/>
    <w:rsid w:val="002730CD"/>
    <w:rsid w:val="00275EBC"/>
    <w:rsid w:val="002827E8"/>
    <w:rsid w:val="002D3160"/>
    <w:rsid w:val="002F7859"/>
    <w:rsid w:val="004218BB"/>
    <w:rsid w:val="0043429D"/>
    <w:rsid w:val="00453C86"/>
    <w:rsid w:val="00503B27"/>
    <w:rsid w:val="00527B57"/>
    <w:rsid w:val="0058379D"/>
    <w:rsid w:val="00620161"/>
    <w:rsid w:val="00657C54"/>
    <w:rsid w:val="0071693A"/>
    <w:rsid w:val="00813D1B"/>
    <w:rsid w:val="00867F34"/>
    <w:rsid w:val="00876A54"/>
    <w:rsid w:val="008937B7"/>
    <w:rsid w:val="00965BA9"/>
    <w:rsid w:val="00B4332F"/>
    <w:rsid w:val="00B8176E"/>
    <w:rsid w:val="00B85EA2"/>
    <w:rsid w:val="00BB550A"/>
    <w:rsid w:val="00BB7561"/>
    <w:rsid w:val="00CC195B"/>
    <w:rsid w:val="00D455C4"/>
    <w:rsid w:val="00DA649E"/>
    <w:rsid w:val="00E11BDC"/>
    <w:rsid w:val="00E30A31"/>
    <w:rsid w:val="00EC2EF2"/>
    <w:rsid w:val="00EE0DB9"/>
    <w:rsid w:val="00FC29CD"/>
    <w:rsid w:val="00FE23A8"/>
    <w:rsid w:val="00FF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D788"/>
  <w15:docId w15:val="{4F496A76-C976-40F7-8AB1-386CD7F4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32F"/>
    <w:rPr>
      <w:color w:val="0563C1" w:themeColor="hyperlink"/>
      <w:u w:val="single"/>
    </w:rPr>
  </w:style>
  <w:style w:type="paragraph" w:styleId="ListParagraph">
    <w:name w:val="List Paragraph"/>
    <w:basedOn w:val="Normal"/>
    <w:uiPriority w:val="34"/>
    <w:qFormat/>
    <w:rsid w:val="00B4332F"/>
    <w:pPr>
      <w:spacing w:after="200" w:line="276" w:lineRule="auto"/>
      <w:ind w:left="720"/>
      <w:contextualSpacing/>
    </w:pPr>
  </w:style>
  <w:style w:type="character" w:styleId="FollowedHyperlink">
    <w:name w:val="FollowedHyperlink"/>
    <w:basedOn w:val="DefaultParagraphFont"/>
    <w:uiPriority w:val="99"/>
    <w:semiHidden/>
    <w:unhideWhenUsed/>
    <w:rsid w:val="000E0D65"/>
    <w:rPr>
      <w:color w:val="954F72" w:themeColor="followedHyperlink"/>
      <w:u w:val="single"/>
    </w:rPr>
  </w:style>
  <w:style w:type="paragraph" w:styleId="FootnoteText">
    <w:name w:val="footnote text"/>
    <w:basedOn w:val="Normal"/>
    <w:link w:val="FootnoteTextChar"/>
    <w:uiPriority w:val="99"/>
    <w:semiHidden/>
    <w:unhideWhenUsed/>
    <w:rsid w:val="000E0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D65"/>
    <w:rPr>
      <w:sz w:val="20"/>
      <w:szCs w:val="20"/>
    </w:rPr>
  </w:style>
  <w:style w:type="character" w:styleId="FootnoteReference">
    <w:name w:val="footnote reference"/>
    <w:basedOn w:val="DefaultParagraphFont"/>
    <w:uiPriority w:val="99"/>
    <w:semiHidden/>
    <w:unhideWhenUsed/>
    <w:rsid w:val="000E0D65"/>
    <w:rPr>
      <w:vertAlign w:val="superscript"/>
    </w:rPr>
  </w:style>
  <w:style w:type="character" w:styleId="UnresolvedMention">
    <w:name w:val="Unresolved Mention"/>
    <w:basedOn w:val="DefaultParagraphFont"/>
    <w:uiPriority w:val="99"/>
    <w:semiHidden/>
    <w:unhideWhenUsed/>
    <w:rsid w:val="00453C86"/>
    <w:rPr>
      <w:color w:val="808080"/>
      <w:shd w:val="clear" w:color="auto" w:fill="E6E6E6"/>
    </w:rPr>
  </w:style>
  <w:style w:type="paragraph" w:styleId="Header">
    <w:name w:val="header"/>
    <w:basedOn w:val="Normal"/>
    <w:link w:val="HeaderChar"/>
    <w:uiPriority w:val="99"/>
    <w:unhideWhenUsed/>
    <w:rsid w:val="0086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F34"/>
  </w:style>
  <w:style w:type="paragraph" w:styleId="Footer">
    <w:name w:val="footer"/>
    <w:basedOn w:val="Normal"/>
    <w:link w:val="FooterChar"/>
    <w:uiPriority w:val="99"/>
    <w:unhideWhenUsed/>
    <w:rsid w:val="0086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F34"/>
  </w:style>
  <w:style w:type="character" w:styleId="CommentReference">
    <w:name w:val="annotation reference"/>
    <w:basedOn w:val="DefaultParagraphFont"/>
    <w:uiPriority w:val="99"/>
    <w:semiHidden/>
    <w:unhideWhenUsed/>
    <w:rsid w:val="000C7836"/>
    <w:rPr>
      <w:sz w:val="16"/>
      <w:szCs w:val="16"/>
    </w:rPr>
  </w:style>
  <w:style w:type="paragraph" w:styleId="CommentText">
    <w:name w:val="annotation text"/>
    <w:basedOn w:val="Normal"/>
    <w:link w:val="CommentTextChar"/>
    <w:uiPriority w:val="99"/>
    <w:unhideWhenUsed/>
    <w:rsid w:val="000C7836"/>
    <w:pPr>
      <w:spacing w:line="240" w:lineRule="auto"/>
    </w:pPr>
    <w:rPr>
      <w:sz w:val="20"/>
      <w:szCs w:val="20"/>
    </w:rPr>
  </w:style>
  <w:style w:type="character" w:customStyle="1" w:styleId="CommentTextChar">
    <w:name w:val="Comment Text Char"/>
    <w:basedOn w:val="DefaultParagraphFont"/>
    <w:link w:val="CommentText"/>
    <w:uiPriority w:val="99"/>
    <w:rsid w:val="000C7836"/>
    <w:rPr>
      <w:sz w:val="20"/>
      <w:szCs w:val="20"/>
    </w:rPr>
  </w:style>
  <w:style w:type="paragraph" w:styleId="CommentSubject">
    <w:name w:val="annotation subject"/>
    <w:basedOn w:val="CommentText"/>
    <w:next w:val="CommentText"/>
    <w:link w:val="CommentSubjectChar"/>
    <w:uiPriority w:val="99"/>
    <w:semiHidden/>
    <w:unhideWhenUsed/>
    <w:rsid w:val="000C7836"/>
    <w:rPr>
      <w:b/>
      <w:bCs/>
    </w:rPr>
  </w:style>
  <w:style w:type="character" w:customStyle="1" w:styleId="CommentSubjectChar">
    <w:name w:val="Comment Subject Char"/>
    <w:basedOn w:val="CommentTextChar"/>
    <w:link w:val="CommentSubject"/>
    <w:uiPriority w:val="99"/>
    <w:semiHidden/>
    <w:rsid w:val="000C7836"/>
    <w:rPr>
      <w:b/>
      <w:bCs/>
      <w:sz w:val="20"/>
      <w:szCs w:val="20"/>
    </w:rPr>
  </w:style>
  <w:style w:type="paragraph" w:styleId="BalloonText">
    <w:name w:val="Balloon Text"/>
    <w:basedOn w:val="Normal"/>
    <w:link w:val="BalloonTextChar"/>
    <w:uiPriority w:val="99"/>
    <w:semiHidden/>
    <w:unhideWhenUsed/>
    <w:rsid w:val="0001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0140">
      <w:bodyDiv w:val="1"/>
      <w:marLeft w:val="0"/>
      <w:marRight w:val="0"/>
      <w:marTop w:val="0"/>
      <w:marBottom w:val="0"/>
      <w:divBdr>
        <w:top w:val="none" w:sz="0" w:space="0" w:color="auto"/>
        <w:left w:val="none" w:sz="0" w:space="0" w:color="auto"/>
        <w:bottom w:val="none" w:sz="0" w:space="0" w:color="auto"/>
        <w:right w:val="none" w:sz="0" w:space="0" w:color="auto"/>
      </w:divBdr>
    </w:div>
    <w:div w:id="594022102">
      <w:bodyDiv w:val="1"/>
      <w:marLeft w:val="0"/>
      <w:marRight w:val="0"/>
      <w:marTop w:val="0"/>
      <w:marBottom w:val="0"/>
      <w:divBdr>
        <w:top w:val="none" w:sz="0" w:space="0" w:color="auto"/>
        <w:left w:val="none" w:sz="0" w:space="0" w:color="auto"/>
        <w:bottom w:val="none" w:sz="0" w:space="0" w:color="auto"/>
        <w:right w:val="none" w:sz="0" w:space="0" w:color="auto"/>
      </w:divBdr>
    </w:div>
    <w:div w:id="1342196745">
      <w:bodyDiv w:val="1"/>
      <w:marLeft w:val="0"/>
      <w:marRight w:val="0"/>
      <w:marTop w:val="0"/>
      <w:marBottom w:val="0"/>
      <w:divBdr>
        <w:top w:val="none" w:sz="0" w:space="0" w:color="auto"/>
        <w:left w:val="none" w:sz="0" w:space="0" w:color="auto"/>
        <w:bottom w:val="none" w:sz="0" w:space="0" w:color="auto"/>
        <w:right w:val="none" w:sz="0" w:space="0" w:color="auto"/>
      </w:divBdr>
    </w:div>
    <w:div w:id="1435250071">
      <w:bodyDiv w:val="1"/>
      <w:marLeft w:val="0"/>
      <w:marRight w:val="0"/>
      <w:marTop w:val="0"/>
      <w:marBottom w:val="0"/>
      <w:divBdr>
        <w:top w:val="none" w:sz="0" w:space="0" w:color="auto"/>
        <w:left w:val="none" w:sz="0" w:space="0" w:color="auto"/>
        <w:bottom w:val="none" w:sz="0" w:space="0" w:color="auto"/>
        <w:right w:val="none" w:sz="0" w:space="0" w:color="auto"/>
      </w:divBdr>
    </w:div>
    <w:div w:id="160749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ttpeters.house.gov/media-center/press-releases/rep-peters-announces-support-for-3rd-coronavirus-stimulus-bi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ottpeters.house.gov/media-center/press-releases/rep-peters-energy-environment-priorities-passed-within-bipartisa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tudentloanhero.com/featured/employer-sponsored-student-loan-repayment-assistance-survey-results-2016/" TargetMode="External"/><Relationship Id="rId1" Type="http://schemas.openxmlformats.org/officeDocument/2006/relationships/hyperlink" Target="https://www.nasdaq.com/articles/student-loan-repayment-assistance-aligning-workplace-benefits-with-employee-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E3F9-5CD2-41D2-93BA-A48BC942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Baillee</dc:creator>
  <cp:lastModifiedBy>Cohen, Rachel (Warner)</cp:lastModifiedBy>
  <cp:revision>2</cp:revision>
  <cp:lastPrinted>2020-02-11T15:43:00Z</cp:lastPrinted>
  <dcterms:created xsi:type="dcterms:W3CDTF">2025-02-27T14:44:00Z</dcterms:created>
  <dcterms:modified xsi:type="dcterms:W3CDTF">2025-02-27T14:44:00Z</dcterms:modified>
</cp:coreProperties>
</file>