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CF" w:rsidRPr="00060C19" w:rsidRDefault="007C5ACF" w:rsidP="00060C19">
      <w:pPr>
        <w:pStyle w:val="NoSpacing"/>
        <w:jc w:val="center"/>
        <w:rPr>
          <w:b/>
        </w:rPr>
      </w:pPr>
      <w:r w:rsidRPr="00060C19">
        <w:rPr>
          <w:b/>
        </w:rPr>
        <w:t>Educational Attainment and Community Leadership</w:t>
      </w:r>
    </w:p>
    <w:p w:rsidR="006479AC" w:rsidRDefault="006479AC" w:rsidP="00060C19">
      <w:pPr>
        <w:pStyle w:val="NoSpacing"/>
        <w:jc w:val="center"/>
        <w:rPr>
          <w:b/>
        </w:rPr>
      </w:pPr>
      <w:r w:rsidRPr="00060C19">
        <w:rPr>
          <w:b/>
        </w:rPr>
        <w:t xml:space="preserve">Virginia </w:t>
      </w:r>
      <w:r w:rsidR="002250FC" w:rsidRPr="00060C19">
        <w:rPr>
          <w:b/>
        </w:rPr>
        <w:t>Pre</w:t>
      </w:r>
      <w:r w:rsidRPr="00060C19">
        <w:rPr>
          <w:b/>
        </w:rPr>
        <w:t>K-12 Education: 2013 and Beyond</w:t>
      </w:r>
    </w:p>
    <w:p w:rsidR="00060C19" w:rsidRDefault="00060C19" w:rsidP="00060C19">
      <w:pPr>
        <w:pStyle w:val="NoSpacing"/>
        <w:jc w:val="center"/>
        <w:rPr>
          <w:b/>
        </w:rPr>
      </w:pPr>
      <w:r>
        <w:rPr>
          <w:b/>
        </w:rPr>
        <w:t>_____________________________________________________________________________________</w:t>
      </w:r>
      <w:bookmarkStart w:id="0" w:name="_GoBack"/>
      <w:bookmarkEnd w:id="0"/>
    </w:p>
    <w:p w:rsidR="00060C19" w:rsidRPr="00060C19" w:rsidRDefault="00060C19" w:rsidP="00060C19">
      <w:pPr>
        <w:pStyle w:val="NoSpacing"/>
        <w:jc w:val="center"/>
        <w:rPr>
          <w:b/>
          <w:sz w:val="20"/>
          <w:szCs w:val="20"/>
        </w:rPr>
      </w:pPr>
      <w:r w:rsidRPr="00060C19">
        <w:rPr>
          <w:b/>
          <w:sz w:val="20"/>
          <w:szCs w:val="20"/>
        </w:rPr>
        <w:t>Dr. Thomas Shields, Assistant Professor and Director of the Center for Leadership in Education</w:t>
      </w:r>
      <w:r w:rsidRPr="00060C19">
        <w:rPr>
          <w:b/>
          <w:sz w:val="20"/>
          <w:szCs w:val="20"/>
        </w:rPr>
        <w:t>,</w:t>
      </w:r>
    </w:p>
    <w:p w:rsidR="00060C19" w:rsidRPr="00060C19" w:rsidRDefault="00060C19" w:rsidP="00060C19">
      <w:pPr>
        <w:pStyle w:val="NoSpacing"/>
        <w:ind w:left="2160" w:firstLine="720"/>
        <w:rPr>
          <w:b/>
          <w:sz w:val="20"/>
          <w:szCs w:val="20"/>
        </w:rPr>
      </w:pPr>
      <w:r>
        <w:rPr>
          <w:b/>
          <w:sz w:val="20"/>
          <w:szCs w:val="20"/>
        </w:rPr>
        <w:t xml:space="preserve">        </w:t>
      </w:r>
      <w:r w:rsidRPr="00060C19">
        <w:rPr>
          <w:b/>
          <w:sz w:val="20"/>
          <w:szCs w:val="20"/>
        </w:rPr>
        <w:t>University of Richmond</w:t>
      </w:r>
    </w:p>
    <w:p w:rsidR="00060C19" w:rsidRPr="00060C19" w:rsidRDefault="00060C19" w:rsidP="00060C19">
      <w:pPr>
        <w:pStyle w:val="NoSpacing"/>
        <w:jc w:val="center"/>
        <w:rPr>
          <w:b/>
          <w:sz w:val="20"/>
          <w:szCs w:val="20"/>
        </w:rPr>
      </w:pPr>
      <w:r w:rsidRPr="00060C19">
        <w:rPr>
          <w:b/>
          <w:sz w:val="20"/>
          <w:szCs w:val="20"/>
        </w:rPr>
        <w:t xml:space="preserve">Ms. Kim </w:t>
      </w:r>
      <w:proofErr w:type="spellStart"/>
      <w:r w:rsidRPr="00060C19">
        <w:rPr>
          <w:b/>
          <w:sz w:val="20"/>
          <w:szCs w:val="20"/>
        </w:rPr>
        <w:t>Waid</w:t>
      </w:r>
      <w:proofErr w:type="spellEnd"/>
      <w:r w:rsidRPr="00060C19">
        <w:rPr>
          <w:b/>
          <w:sz w:val="20"/>
          <w:szCs w:val="20"/>
        </w:rPr>
        <w:t>, Special Assistant to the Provost, University of Richmond</w:t>
      </w:r>
    </w:p>
    <w:p w:rsidR="00060C19" w:rsidRPr="00060C19" w:rsidRDefault="00060C19" w:rsidP="00060C19">
      <w:pPr>
        <w:pStyle w:val="NoSpacing"/>
        <w:jc w:val="center"/>
        <w:rPr>
          <w:b/>
        </w:rPr>
      </w:pPr>
    </w:p>
    <w:p w:rsidR="00E726FB" w:rsidRPr="00060C19" w:rsidRDefault="00B268BD" w:rsidP="007C5ACF">
      <w:pPr>
        <w:pStyle w:val="NoSpacing"/>
        <w:rPr>
          <w:sz w:val="20"/>
          <w:szCs w:val="20"/>
        </w:rPr>
      </w:pPr>
      <w:r w:rsidRPr="00060C19">
        <w:rPr>
          <w:sz w:val="20"/>
          <w:szCs w:val="20"/>
        </w:rPr>
        <w:t>More than a million</w:t>
      </w:r>
      <w:r w:rsidR="005D795B" w:rsidRPr="00060C19">
        <w:rPr>
          <w:sz w:val="20"/>
          <w:szCs w:val="20"/>
        </w:rPr>
        <w:t xml:space="preserve"> students </w:t>
      </w:r>
      <w:r w:rsidR="00C67C5B" w:rsidRPr="00060C19">
        <w:rPr>
          <w:sz w:val="20"/>
          <w:szCs w:val="20"/>
        </w:rPr>
        <w:t xml:space="preserve">are </w:t>
      </w:r>
      <w:r w:rsidR="009761D1" w:rsidRPr="00060C19">
        <w:rPr>
          <w:sz w:val="20"/>
          <w:szCs w:val="20"/>
        </w:rPr>
        <w:t xml:space="preserve">enrolled in </w:t>
      </w:r>
      <w:r w:rsidR="005D795B" w:rsidRPr="00060C19">
        <w:rPr>
          <w:sz w:val="20"/>
          <w:szCs w:val="20"/>
        </w:rPr>
        <w:t>Virginia’s public schools</w:t>
      </w:r>
      <w:r w:rsidRPr="00060C19">
        <w:rPr>
          <w:sz w:val="20"/>
          <w:szCs w:val="20"/>
        </w:rPr>
        <w:t>, and for many of t</w:t>
      </w:r>
      <w:r w:rsidR="00C67C5B" w:rsidRPr="00060C19">
        <w:rPr>
          <w:sz w:val="20"/>
          <w:szCs w:val="20"/>
        </w:rPr>
        <w:t>h</w:t>
      </w:r>
      <w:r w:rsidRPr="00060C19">
        <w:rPr>
          <w:sz w:val="20"/>
          <w:szCs w:val="20"/>
        </w:rPr>
        <w:t>o</w:t>
      </w:r>
      <w:r w:rsidR="00C67C5B" w:rsidRPr="00060C19">
        <w:rPr>
          <w:sz w:val="20"/>
          <w:szCs w:val="20"/>
        </w:rPr>
        <w:t>se</w:t>
      </w:r>
      <w:r w:rsidR="005D795B" w:rsidRPr="00060C19">
        <w:rPr>
          <w:sz w:val="20"/>
          <w:szCs w:val="20"/>
        </w:rPr>
        <w:t xml:space="preserve"> students </w:t>
      </w:r>
      <w:r w:rsidR="00175096" w:rsidRPr="00060C19">
        <w:rPr>
          <w:sz w:val="20"/>
          <w:szCs w:val="20"/>
        </w:rPr>
        <w:t>Virginia</w:t>
      </w:r>
      <w:r w:rsidR="00041FD1" w:rsidRPr="00060C19">
        <w:rPr>
          <w:sz w:val="20"/>
          <w:szCs w:val="20"/>
        </w:rPr>
        <w:t>’s</w:t>
      </w:r>
      <w:r w:rsidR="00175096" w:rsidRPr="00060C19">
        <w:rPr>
          <w:sz w:val="20"/>
          <w:szCs w:val="20"/>
        </w:rPr>
        <w:t xml:space="preserve"> </w:t>
      </w:r>
      <w:r w:rsidR="00A50E18" w:rsidRPr="00060C19">
        <w:rPr>
          <w:sz w:val="20"/>
          <w:szCs w:val="20"/>
        </w:rPr>
        <w:t xml:space="preserve">current </w:t>
      </w:r>
      <w:r w:rsidR="005D795B" w:rsidRPr="00060C19">
        <w:rPr>
          <w:sz w:val="20"/>
          <w:szCs w:val="20"/>
        </w:rPr>
        <w:t>P</w:t>
      </w:r>
      <w:r w:rsidR="00FC69B9" w:rsidRPr="00060C19">
        <w:rPr>
          <w:sz w:val="20"/>
          <w:szCs w:val="20"/>
        </w:rPr>
        <w:t>re</w:t>
      </w:r>
      <w:r w:rsidR="005D795B" w:rsidRPr="00060C19">
        <w:rPr>
          <w:sz w:val="20"/>
          <w:szCs w:val="20"/>
        </w:rPr>
        <w:t xml:space="preserve">K-12 education system </w:t>
      </w:r>
      <w:r w:rsidRPr="00060C19">
        <w:rPr>
          <w:sz w:val="20"/>
          <w:szCs w:val="20"/>
        </w:rPr>
        <w:t>is</w:t>
      </w:r>
      <w:r w:rsidR="004A3FE4" w:rsidRPr="00060C19">
        <w:rPr>
          <w:sz w:val="20"/>
          <w:szCs w:val="20"/>
        </w:rPr>
        <w:t xml:space="preserve"> producing positive outcomes</w:t>
      </w:r>
      <w:r w:rsidR="00175096" w:rsidRPr="00060C19">
        <w:rPr>
          <w:sz w:val="20"/>
          <w:szCs w:val="20"/>
        </w:rPr>
        <w:t xml:space="preserve">. </w:t>
      </w:r>
      <w:r w:rsidR="00A50E18" w:rsidRPr="00060C19">
        <w:rPr>
          <w:sz w:val="20"/>
          <w:szCs w:val="20"/>
        </w:rPr>
        <w:t xml:space="preserve">The number of students completing </w:t>
      </w:r>
      <w:r w:rsidRPr="00060C19">
        <w:rPr>
          <w:sz w:val="20"/>
          <w:szCs w:val="20"/>
        </w:rPr>
        <w:t>Advanced P</w:t>
      </w:r>
      <w:r w:rsidR="00A50E18" w:rsidRPr="00060C19">
        <w:rPr>
          <w:sz w:val="20"/>
          <w:szCs w:val="20"/>
        </w:rPr>
        <w:t xml:space="preserve">lacement </w:t>
      </w:r>
      <w:r w:rsidR="007077C5" w:rsidRPr="00060C19">
        <w:rPr>
          <w:sz w:val="20"/>
          <w:szCs w:val="20"/>
        </w:rPr>
        <w:t xml:space="preserve">(AP) </w:t>
      </w:r>
      <w:r w:rsidR="00A50E18" w:rsidRPr="00060C19">
        <w:rPr>
          <w:sz w:val="20"/>
          <w:szCs w:val="20"/>
        </w:rPr>
        <w:t xml:space="preserve">tests </w:t>
      </w:r>
      <w:r w:rsidR="00C67C5B" w:rsidRPr="00060C19">
        <w:rPr>
          <w:sz w:val="20"/>
          <w:szCs w:val="20"/>
        </w:rPr>
        <w:t xml:space="preserve">in Virginia </w:t>
      </w:r>
      <w:r w:rsidR="00A50E18" w:rsidRPr="00060C19">
        <w:rPr>
          <w:sz w:val="20"/>
          <w:szCs w:val="20"/>
        </w:rPr>
        <w:t>has risen from 57,530 in 2009-2012 to 67,80</w:t>
      </w:r>
      <w:r w:rsidR="000352C7" w:rsidRPr="00060C19">
        <w:rPr>
          <w:sz w:val="20"/>
          <w:szCs w:val="20"/>
        </w:rPr>
        <w:t>5</w:t>
      </w:r>
      <w:r w:rsidR="002038E7" w:rsidRPr="00060C19">
        <w:rPr>
          <w:sz w:val="20"/>
          <w:szCs w:val="20"/>
        </w:rPr>
        <w:t xml:space="preserve"> in 2011-2012 (VDOE, 2012</w:t>
      </w:r>
      <w:r w:rsidR="00A50E18" w:rsidRPr="00060C19">
        <w:rPr>
          <w:sz w:val="20"/>
          <w:szCs w:val="20"/>
        </w:rPr>
        <w:t xml:space="preserve">).  In the past two years, the number of </w:t>
      </w:r>
      <w:r w:rsidR="00C67C5B" w:rsidRPr="00060C19">
        <w:rPr>
          <w:sz w:val="20"/>
          <w:szCs w:val="20"/>
        </w:rPr>
        <w:t xml:space="preserve">Virginia </w:t>
      </w:r>
      <w:r w:rsidR="00A50E18" w:rsidRPr="00060C19">
        <w:rPr>
          <w:sz w:val="20"/>
          <w:szCs w:val="20"/>
        </w:rPr>
        <w:t xml:space="preserve">students enrolled in International Baccalaureate (IB) and Dual Enrollment courses, as well </w:t>
      </w:r>
      <w:r w:rsidRPr="00060C19">
        <w:rPr>
          <w:sz w:val="20"/>
          <w:szCs w:val="20"/>
        </w:rPr>
        <w:t>as the number in attendance at</w:t>
      </w:r>
      <w:r w:rsidR="00A50E18" w:rsidRPr="00060C19">
        <w:rPr>
          <w:sz w:val="20"/>
          <w:szCs w:val="20"/>
        </w:rPr>
        <w:t xml:space="preserve"> Governor’s School</w:t>
      </w:r>
      <w:r w:rsidRPr="00060C19">
        <w:rPr>
          <w:sz w:val="20"/>
          <w:szCs w:val="20"/>
        </w:rPr>
        <w:t>s</w:t>
      </w:r>
      <w:r w:rsidR="00A50E18" w:rsidRPr="00060C19">
        <w:rPr>
          <w:sz w:val="20"/>
          <w:szCs w:val="20"/>
        </w:rPr>
        <w:t xml:space="preserve"> has also increased. </w:t>
      </w:r>
      <w:r w:rsidR="00C67C5B" w:rsidRPr="00060C19">
        <w:rPr>
          <w:sz w:val="20"/>
          <w:szCs w:val="20"/>
        </w:rPr>
        <w:t>Since 2010</w:t>
      </w:r>
      <w:r w:rsidRPr="00060C19">
        <w:rPr>
          <w:sz w:val="20"/>
          <w:szCs w:val="20"/>
        </w:rPr>
        <w:t>,</w:t>
      </w:r>
      <w:r w:rsidR="00E726FB" w:rsidRPr="00060C19">
        <w:rPr>
          <w:sz w:val="20"/>
          <w:szCs w:val="20"/>
        </w:rPr>
        <w:t xml:space="preserve"> the number of </w:t>
      </w:r>
      <w:r w:rsidRPr="00060C19">
        <w:rPr>
          <w:sz w:val="20"/>
          <w:szCs w:val="20"/>
        </w:rPr>
        <w:t>a</w:t>
      </w:r>
      <w:r w:rsidR="00E726FB" w:rsidRPr="00060C19">
        <w:rPr>
          <w:sz w:val="20"/>
          <w:szCs w:val="20"/>
        </w:rPr>
        <w:t>c</w:t>
      </w:r>
      <w:r w:rsidR="00C67C5B" w:rsidRPr="00060C19">
        <w:rPr>
          <w:sz w:val="20"/>
          <w:szCs w:val="20"/>
        </w:rPr>
        <w:t xml:space="preserve">ademies </w:t>
      </w:r>
      <w:r w:rsidRPr="00060C19">
        <w:rPr>
          <w:sz w:val="20"/>
          <w:szCs w:val="20"/>
        </w:rPr>
        <w:t xml:space="preserve">in Virginia focused on science, technology, engineering and mathematics (STEM) </w:t>
      </w:r>
      <w:r w:rsidR="00C67C5B" w:rsidRPr="00060C19">
        <w:rPr>
          <w:sz w:val="20"/>
          <w:szCs w:val="20"/>
        </w:rPr>
        <w:t>has doubled</w:t>
      </w:r>
      <w:r w:rsidR="006D183D" w:rsidRPr="00060C19">
        <w:rPr>
          <w:sz w:val="20"/>
          <w:szCs w:val="20"/>
        </w:rPr>
        <w:t xml:space="preserve"> from </w:t>
      </w:r>
      <w:r w:rsidR="00A831AE" w:rsidRPr="00060C19">
        <w:rPr>
          <w:sz w:val="20"/>
          <w:szCs w:val="20"/>
        </w:rPr>
        <w:t xml:space="preserve">the original </w:t>
      </w:r>
      <w:r w:rsidR="006D183D" w:rsidRPr="00060C19">
        <w:rPr>
          <w:sz w:val="20"/>
          <w:szCs w:val="20"/>
        </w:rPr>
        <w:t xml:space="preserve">six </w:t>
      </w:r>
      <w:r w:rsidR="00A831AE" w:rsidRPr="00060C19">
        <w:rPr>
          <w:sz w:val="20"/>
          <w:szCs w:val="20"/>
        </w:rPr>
        <w:t xml:space="preserve">STEM Academies </w:t>
      </w:r>
      <w:r w:rsidR="006D183D" w:rsidRPr="00060C19">
        <w:rPr>
          <w:sz w:val="20"/>
          <w:szCs w:val="20"/>
        </w:rPr>
        <w:t xml:space="preserve">in 2008 to </w:t>
      </w:r>
      <w:r w:rsidR="00A831AE" w:rsidRPr="00060C19">
        <w:rPr>
          <w:sz w:val="20"/>
          <w:szCs w:val="20"/>
        </w:rPr>
        <w:t xml:space="preserve">a total of </w:t>
      </w:r>
      <w:r w:rsidR="006D183D" w:rsidRPr="00060C19">
        <w:rPr>
          <w:sz w:val="20"/>
          <w:szCs w:val="20"/>
        </w:rPr>
        <w:t xml:space="preserve">seventeen </w:t>
      </w:r>
      <w:r w:rsidR="00A831AE" w:rsidRPr="00060C19">
        <w:rPr>
          <w:sz w:val="20"/>
          <w:szCs w:val="20"/>
        </w:rPr>
        <w:t xml:space="preserve">academies </w:t>
      </w:r>
      <w:r w:rsidR="006D183D" w:rsidRPr="00060C19">
        <w:rPr>
          <w:sz w:val="20"/>
          <w:szCs w:val="20"/>
        </w:rPr>
        <w:t>in 2013</w:t>
      </w:r>
      <w:r w:rsidRPr="00060C19">
        <w:rPr>
          <w:sz w:val="20"/>
          <w:szCs w:val="20"/>
        </w:rPr>
        <w:t>. S</w:t>
      </w:r>
      <w:r w:rsidR="00D24F25" w:rsidRPr="00060C19">
        <w:rPr>
          <w:sz w:val="20"/>
          <w:szCs w:val="20"/>
        </w:rPr>
        <w:t>tarting in 2011-</w:t>
      </w:r>
      <w:r w:rsidRPr="00060C19">
        <w:rPr>
          <w:sz w:val="20"/>
          <w:szCs w:val="20"/>
        </w:rPr>
        <w:t>20</w:t>
      </w:r>
      <w:r w:rsidR="00D24F25" w:rsidRPr="00060C19">
        <w:rPr>
          <w:sz w:val="20"/>
          <w:szCs w:val="20"/>
        </w:rPr>
        <w:t>12</w:t>
      </w:r>
      <w:r w:rsidRPr="00060C19">
        <w:rPr>
          <w:sz w:val="20"/>
          <w:szCs w:val="20"/>
        </w:rPr>
        <w:t xml:space="preserve">, </w:t>
      </w:r>
      <w:r w:rsidR="00D24F25" w:rsidRPr="00060C19">
        <w:rPr>
          <w:sz w:val="20"/>
          <w:szCs w:val="20"/>
        </w:rPr>
        <w:t xml:space="preserve">students </w:t>
      </w:r>
      <w:r w:rsidR="006D183D" w:rsidRPr="00060C19">
        <w:rPr>
          <w:sz w:val="20"/>
          <w:szCs w:val="20"/>
        </w:rPr>
        <w:t>across the Commonwealth</w:t>
      </w:r>
      <w:r w:rsidRPr="00060C19">
        <w:rPr>
          <w:sz w:val="20"/>
          <w:szCs w:val="20"/>
        </w:rPr>
        <w:t xml:space="preserve"> of Virginia</w:t>
      </w:r>
      <w:r w:rsidR="006D183D" w:rsidRPr="00060C19">
        <w:rPr>
          <w:sz w:val="20"/>
          <w:szCs w:val="20"/>
        </w:rPr>
        <w:t xml:space="preserve"> </w:t>
      </w:r>
      <w:r w:rsidR="00D24F25" w:rsidRPr="00060C19">
        <w:rPr>
          <w:sz w:val="20"/>
          <w:szCs w:val="20"/>
        </w:rPr>
        <w:t xml:space="preserve">were tested on more </w:t>
      </w:r>
      <w:r w:rsidR="00E726FB" w:rsidRPr="00060C19">
        <w:rPr>
          <w:sz w:val="20"/>
          <w:szCs w:val="20"/>
        </w:rPr>
        <w:t xml:space="preserve">rigorous statewide </w:t>
      </w:r>
      <w:r w:rsidR="00D24F25" w:rsidRPr="00060C19">
        <w:rPr>
          <w:sz w:val="20"/>
          <w:szCs w:val="20"/>
        </w:rPr>
        <w:t>standards in</w:t>
      </w:r>
      <w:r w:rsidR="00E726FB" w:rsidRPr="00060C19">
        <w:rPr>
          <w:sz w:val="20"/>
          <w:szCs w:val="20"/>
        </w:rPr>
        <w:t xml:space="preserve"> mathemat</w:t>
      </w:r>
      <w:r w:rsidR="00A50E18" w:rsidRPr="00060C19">
        <w:rPr>
          <w:sz w:val="20"/>
          <w:szCs w:val="20"/>
        </w:rPr>
        <w:t xml:space="preserve">ics. </w:t>
      </w:r>
      <w:r w:rsidRPr="00060C19">
        <w:rPr>
          <w:sz w:val="20"/>
          <w:szCs w:val="20"/>
        </w:rPr>
        <w:t xml:space="preserve">This year, </w:t>
      </w:r>
      <w:r w:rsidR="00A50E18" w:rsidRPr="00060C19">
        <w:rPr>
          <w:sz w:val="20"/>
          <w:szCs w:val="20"/>
        </w:rPr>
        <w:t xml:space="preserve">students </w:t>
      </w:r>
      <w:r w:rsidR="00E726FB" w:rsidRPr="00060C19">
        <w:rPr>
          <w:sz w:val="20"/>
          <w:szCs w:val="20"/>
        </w:rPr>
        <w:t xml:space="preserve">will be tested on more rigorous content in English and science.  </w:t>
      </w:r>
      <w:r w:rsidR="00A50E18" w:rsidRPr="00060C19">
        <w:rPr>
          <w:sz w:val="20"/>
          <w:szCs w:val="20"/>
        </w:rPr>
        <w:t>Overall, Virginia’s on-ti</w:t>
      </w:r>
      <w:r w:rsidR="00D24F25" w:rsidRPr="00060C19">
        <w:rPr>
          <w:sz w:val="20"/>
          <w:szCs w:val="20"/>
        </w:rPr>
        <w:t xml:space="preserve">me graduation rate for the class of 2012 was 88%, up 3.0% since 2009 </w:t>
      </w:r>
      <w:r w:rsidR="00A50E18" w:rsidRPr="00060C19">
        <w:rPr>
          <w:sz w:val="20"/>
          <w:szCs w:val="20"/>
        </w:rPr>
        <w:t>(VDOE, 2012).</w:t>
      </w:r>
      <w:r w:rsidR="009E5742" w:rsidRPr="00060C19">
        <w:rPr>
          <w:sz w:val="20"/>
          <w:szCs w:val="20"/>
        </w:rPr>
        <w:t xml:space="preserve"> </w:t>
      </w:r>
    </w:p>
    <w:p w:rsidR="007C5ACF" w:rsidRPr="00060C19" w:rsidRDefault="007C5ACF" w:rsidP="007C5ACF">
      <w:pPr>
        <w:pStyle w:val="NoSpacing"/>
        <w:rPr>
          <w:sz w:val="20"/>
          <w:szCs w:val="20"/>
        </w:rPr>
      </w:pPr>
    </w:p>
    <w:p w:rsidR="00BD4684" w:rsidRPr="00060C19" w:rsidRDefault="00765457" w:rsidP="007C5ACF">
      <w:pPr>
        <w:pStyle w:val="NoSpacing"/>
        <w:rPr>
          <w:rFonts w:cs="Arial"/>
          <w:color w:val="000000"/>
          <w:sz w:val="20"/>
          <w:szCs w:val="20"/>
        </w:rPr>
      </w:pPr>
      <w:r w:rsidRPr="00060C19">
        <w:rPr>
          <w:sz w:val="20"/>
          <w:szCs w:val="20"/>
        </w:rPr>
        <w:t xml:space="preserve">Virginia’s fourth and eighth-graders outperformed the nation on reading and math achievement on </w:t>
      </w:r>
      <w:r w:rsidR="00D45DDC" w:rsidRPr="00060C19">
        <w:rPr>
          <w:sz w:val="20"/>
          <w:szCs w:val="20"/>
        </w:rPr>
        <w:t xml:space="preserve">the </w:t>
      </w:r>
      <w:r w:rsidRPr="00060C19">
        <w:rPr>
          <w:sz w:val="20"/>
          <w:szCs w:val="20"/>
        </w:rPr>
        <w:t xml:space="preserve">National Assessment of Education Progress </w:t>
      </w:r>
      <w:r w:rsidR="006D183D" w:rsidRPr="00060C19">
        <w:rPr>
          <w:sz w:val="20"/>
          <w:szCs w:val="20"/>
        </w:rPr>
        <w:t xml:space="preserve">at </w:t>
      </w:r>
      <w:r w:rsidR="00B268BD" w:rsidRPr="00060C19">
        <w:rPr>
          <w:sz w:val="20"/>
          <w:szCs w:val="20"/>
        </w:rPr>
        <w:t xml:space="preserve">both </w:t>
      </w:r>
      <w:r w:rsidR="006D183D" w:rsidRPr="00060C19">
        <w:rPr>
          <w:sz w:val="20"/>
          <w:szCs w:val="20"/>
        </w:rPr>
        <w:t>b</w:t>
      </w:r>
      <w:r w:rsidRPr="00060C19">
        <w:rPr>
          <w:sz w:val="20"/>
          <w:szCs w:val="20"/>
        </w:rPr>
        <w:t xml:space="preserve">asic </w:t>
      </w:r>
      <w:r w:rsidR="006D183D" w:rsidRPr="00060C19">
        <w:rPr>
          <w:sz w:val="20"/>
          <w:szCs w:val="20"/>
        </w:rPr>
        <w:t>and proficient l</w:t>
      </w:r>
      <w:r w:rsidRPr="00060C19">
        <w:rPr>
          <w:sz w:val="20"/>
          <w:szCs w:val="20"/>
        </w:rPr>
        <w:t>evel</w:t>
      </w:r>
      <w:r w:rsidR="006D183D" w:rsidRPr="00060C19">
        <w:rPr>
          <w:sz w:val="20"/>
          <w:szCs w:val="20"/>
        </w:rPr>
        <w:t>s</w:t>
      </w:r>
      <w:r w:rsidRPr="00060C19">
        <w:rPr>
          <w:sz w:val="20"/>
          <w:szCs w:val="20"/>
        </w:rPr>
        <w:t xml:space="preserve"> (SREB, 2012)</w:t>
      </w:r>
      <w:r w:rsidR="00376012" w:rsidRPr="00060C19">
        <w:rPr>
          <w:sz w:val="20"/>
          <w:szCs w:val="20"/>
        </w:rPr>
        <w:t xml:space="preserve">. </w:t>
      </w:r>
      <w:r w:rsidR="006D00BF" w:rsidRPr="00060C19">
        <w:rPr>
          <w:sz w:val="20"/>
          <w:szCs w:val="20"/>
        </w:rPr>
        <w:t>In 2011-2012</w:t>
      </w:r>
      <w:r w:rsidR="00D45DDC" w:rsidRPr="00060C19">
        <w:rPr>
          <w:sz w:val="20"/>
          <w:szCs w:val="20"/>
        </w:rPr>
        <w:t>,</w:t>
      </w:r>
      <w:r w:rsidR="006D00BF" w:rsidRPr="00060C19">
        <w:rPr>
          <w:sz w:val="20"/>
          <w:szCs w:val="20"/>
        </w:rPr>
        <w:t xml:space="preserve"> </w:t>
      </w:r>
      <w:r w:rsidR="00B268BD" w:rsidRPr="00060C19">
        <w:rPr>
          <w:sz w:val="20"/>
          <w:szCs w:val="20"/>
        </w:rPr>
        <w:t>86%</w:t>
      </w:r>
      <w:r w:rsidR="009761D1" w:rsidRPr="00060C19">
        <w:rPr>
          <w:sz w:val="20"/>
          <w:szCs w:val="20"/>
        </w:rPr>
        <w:t xml:space="preserve"> of third-</w:t>
      </w:r>
      <w:r w:rsidR="00351F8E" w:rsidRPr="00060C19">
        <w:rPr>
          <w:sz w:val="20"/>
          <w:szCs w:val="20"/>
        </w:rPr>
        <w:t>grade students</w:t>
      </w:r>
      <w:r w:rsidR="00E726FB" w:rsidRPr="00060C19">
        <w:rPr>
          <w:sz w:val="20"/>
          <w:szCs w:val="20"/>
        </w:rPr>
        <w:t xml:space="preserve"> </w:t>
      </w:r>
      <w:r w:rsidR="00B268BD" w:rsidRPr="00060C19">
        <w:rPr>
          <w:sz w:val="20"/>
          <w:szCs w:val="20"/>
        </w:rPr>
        <w:t xml:space="preserve">were </w:t>
      </w:r>
      <w:r w:rsidR="00E726FB" w:rsidRPr="00060C19">
        <w:rPr>
          <w:sz w:val="20"/>
          <w:szCs w:val="20"/>
        </w:rPr>
        <w:t>reading on grade level;</w:t>
      </w:r>
      <w:r w:rsidR="00351F8E" w:rsidRPr="00060C19">
        <w:rPr>
          <w:sz w:val="20"/>
          <w:szCs w:val="20"/>
        </w:rPr>
        <w:t xml:space="preserve"> </w:t>
      </w:r>
      <w:r w:rsidR="00A50E18" w:rsidRPr="00060C19">
        <w:rPr>
          <w:sz w:val="20"/>
          <w:szCs w:val="20"/>
        </w:rPr>
        <w:t xml:space="preserve">that is </w:t>
      </w:r>
      <w:r w:rsidR="00351F8E" w:rsidRPr="00060C19">
        <w:rPr>
          <w:sz w:val="20"/>
          <w:szCs w:val="20"/>
        </w:rPr>
        <w:t>a</w:t>
      </w:r>
      <w:r w:rsidR="00B268BD" w:rsidRPr="00060C19">
        <w:rPr>
          <w:sz w:val="20"/>
          <w:szCs w:val="20"/>
        </w:rPr>
        <w:t xml:space="preserve">n </w:t>
      </w:r>
      <w:r w:rsidR="00351F8E" w:rsidRPr="00060C19">
        <w:rPr>
          <w:sz w:val="20"/>
          <w:szCs w:val="20"/>
        </w:rPr>
        <w:t>increase</w:t>
      </w:r>
      <w:r w:rsidR="00B268BD" w:rsidRPr="00060C19">
        <w:rPr>
          <w:sz w:val="20"/>
          <w:szCs w:val="20"/>
        </w:rPr>
        <w:t xml:space="preserve"> of three percent</w:t>
      </w:r>
      <w:r w:rsidR="00351F8E" w:rsidRPr="00060C19">
        <w:rPr>
          <w:sz w:val="20"/>
          <w:szCs w:val="20"/>
        </w:rPr>
        <w:t xml:space="preserve"> </w:t>
      </w:r>
      <w:r w:rsidR="00B268BD" w:rsidRPr="00060C19">
        <w:rPr>
          <w:sz w:val="20"/>
          <w:szCs w:val="20"/>
        </w:rPr>
        <w:t>since</w:t>
      </w:r>
      <w:r w:rsidR="00351F8E" w:rsidRPr="00060C19">
        <w:rPr>
          <w:sz w:val="20"/>
          <w:szCs w:val="20"/>
        </w:rPr>
        <w:t xml:space="preserve"> 2009-2010</w:t>
      </w:r>
      <w:r w:rsidR="002B24D0" w:rsidRPr="00060C19">
        <w:rPr>
          <w:sz w:val="20"/>
          <w:szCs w:val="20"/>
        </w:rPr>
        <w:t xml:space="preserve"> (VDOE, 2012)</w:t>
      </w:r>
      <w:r w:rsidR="00351F8E" w:rsidRPr="00060C19">
        <w:rPr>
          <w:sz w:val="20"/>
          <w:szCs w:val="20"/>
        </w:rPr>
        <w:t xml:space="preserve">. </w:t>
      </w:r>
      <w:r w:rsidR="004D78E6" w:rsidRPr="00060C19">
        <w:rPr>
          <w:sz w:val="20"/>
          <w:szCs w:val="20"/>
        </w:rPr>
        <w:t xml:space="preserve">Virginia’s Early </w:t>
      </w:r>
      <w:r w:rsidR="00B268BD" w:rsidRPr="00060C19">
        <w:rPr>
          <w:sz w:val="20"/>
          <w:szCs w:val="20"/>
        </w:rPr>
        <w:t>Intervention Reading Initiative</w:t>
      </w:r>
      <w:r w:rsidR="00315CD4" w:rsidRPr="00060C19">
        <w:rPr>
          <w:sz w:val="20"/>
          <w:szCs w:val="20"/>
        </w:rPr>
        <w:t xml:space="preserve"> </w:t>
      </w:r>
      <w:r w:rsidR="006D00BF" w:rsidRPr="00060C19">
        <w:rPr>
          <w:sz w:val="20"/>
          <w:szCs w:val="20"/>
        </w:rPr>
        <w:t xml:space="preserve">implementation of the </w:t>
      </w:r>
      <w:r w:rsidR="00AB1E53" w:rsidRPr="00060C19">
        <w:rPr>
          <w:sz w:val="20"/>
          <w:szCs w:val="20"/>
        </w:rPr>
        <w:t>Phonological</w:t>
      </w:r>
      <w:r w:rsidR="006D00BF" w:rsidRPr="00060C19">
        <w:rPr>
          <w:sz w:val="20"/>
          <w:szCs w:val="20"/>
        </w:rPr>
        <w:t xml:space="preserve"> Awareness </w:t>
      </w:r>
      <w:r w:rsidR="00C67C5B" w:rsidRPr="00060C19">
        <w:rPr>
          <w:sz w:val="20"/>
          <w:szCs w:val="20"/>
        </w:rPr>
        <w:t xml:space="preserve">Literacy Screening </w:t>
      </w:r>
      <w:r w:rsidR="006D00BF" w:rsidRPr="00060C19">
        <w:rPr>
          <w:sz w:val="20"/>
          <w:szCs w:val="20"/>
        </w:rPr>
        <w:t>(PALS) assessment</w:t>
      </w:r>
      <w:r w:rsidR="00315CD4" w:rsidRPr="00060C19">
        <w:rPr>
          <w:sz w:val="20"/>
          <w:szCs w:val="20"/>
        </w:rPr>
        <w:t xml:space="preserve"> </w:t>
      </w:r>
      <w:r w:rsidR="006D00BF" w:rsidRPr="00060C19">
        <w:rPr>
          <w:sz w:val="20"/>
          <w:szCs w:val="20"/>
        </w:rPr>
        <w:t>made Virginia the first in the nation to practice universal reading screening in grades K-3</w:t>
      </w:r>
      <w:r w:rsidR="007077C5" w:rsidRPr="00060C19">
        <w:rPr>
          <w:sz w:val="20"/>
          <w:szCs w:val="20"/>
        </w:rPr>
        <w:t>. Data</w:t>
      </w:r>
      <w:r w:rsidR="006B3020" w:rsidRPr="00060C19">
        <w:rPr>
          <w:sz w:val="20"/>
          <w:szCs w:val="20"/>
        </w:rPr>
        <w:t xml:space="preserve"> from</w:t>
      </w:r>
      <w:r w:rsidR="007077C5" w:rsidRPr="00060C19">
        <w:rPr>
          <w:sz w:val="20"/>
          <w:szCs w:val="20"/>
        </w:rPr>
        <w:t xml:space="preserve"> the PALS assessment help </w:t>
      </w:r>
      <w:r w:rsidR="00C67C5B" w:rsidRPr="00060C19">
        <w:rPr>
          <w:sz w:val="20"/>
          <w:szCs w:val="20"/>
        </w:rPr>
        <w:t>teacher</w:t>
      </w:r>
      <w:r w:rsidR="008C1045" w:rsidRPr="00060C19">
        <w:rPr>
          <w:sz w:val="20"/>
          <w:szCs w:val="20"/>
        </w:rPr>
        <w:t>s</w:t>
      </w:r>
      <w:r w:rsidR="00C67C5B" w:rsidRPr="00060C19">
        <w:rPr>
          <w:sz w:val="20"/>
          <w:szCs w:val="20"/>
        </w:rPr>
        <w:t xml:space="preserve"> </w:t>
      </w:r>
      <w:r w:rsidR="007077C5" w:rsidRPr="00060C19">
        <w:rPr>
          <w:sz w:val="20"/>
          <w:szCs w:val="20"/>
        </w:rPr>
        <w:t xml:space="preserve">target </w:t>
      </w:r>
      <w:r w:rsidR="006B3020" w:rsidRPr="00060C19">
        <w:rPr>
          <w:sz w:val="20"/>
          <w:szCs w:val="20"/>
        </w:rPr>
        <w:t xml:space="preserve">early intervention strategies in reading. </w:t>
      </w:r>
      <w:r w:rsidR="006D00BF" w:rsidRPr="00060C19">
        <w:rPr>
          <w:sz w:val="20"/>
          <w:szCs w:val="20"/>
        </w:rPr>
        <w:t xml:space="preserve"> </w:t>
      </w:r>
      <w:r w:rsidR="00C750EB" w:rsidRPr="00060C19">
        <w:rPr>
          <w:sz w:val="20"/>
          <w:szCs w:val="20"/>
        </w:rPr>
        <w:t xml:space="preserve">The </w:t>
      </w:r>
      <w:r w:rsidR="00B30AAE" w:rsidRPr="00060C19">
        <w:rPr>
          <w:sz w:val="20"/>
          <w:szCs w:val="20"/>
        </w:rPr>
        <w:t>Virginia Department of Education (VDOE)</w:t>
      </w:r>
      <w:r w:rsidR="00C750EB" w:rsidRPr="00060C19">
        <w:rPr>
          <w:sz w:val="20"/>
          <w:szCs w:val="20"/>
        </w:rPr>
        <w:t xml:space="preserve"> has recently developed </w:t>
      </w:r>
      <w:r w:rsidR="00B268BD" w:rsidRPr="00060C19">
        <w:rPr>
          <w:rFonts w:cs="Arial"/>
          <w:color w:val="000000"/>
          <w:sz w:val="20"/>
          <w:szCs w:val="20"/>
        </w:rPr>
        <w:t xml:space="preserve">an </w:t>
      </w:r>
      <w:r w:rsidR="00C750EB" w:rsidRPr="00060C19">
        <w:rPr>
          <w:rFonts w:cs="Arial"/>
          <w:color w:val="000000"/>
          <w:sz w:val="20"/>
          <w:szCs w:val="20"/>
        </w:rPr>
        <w:t xml:space="preserve">Algebra Readiness Diagnostic Test (ARDT) that includes improved diagnostic and reporting features </w:t>
      </w:r>
      <w:r w:rsidR="00B268BD" w:rsidRPr="00060C19">
        <w:rPr>
          <w:rFonts w:cs="Arial"/>
          <w:color w:val="000000"/>
          <w:sz w:val="20"/>
          <w:szCs w:val="20"/>
        </w:rPr>
        <w:t>as well as</w:t>
      </w:r>
      <w:r w:rsidR="00C750EB" w:rsidRPr="00060C19">
        <w:rPr>
          <w:rFonts w:cs="Arial"/>
          <w:color w:val="000000"/>
          <w:sz w:val="20"/>
          <w:szCs w:val="20"/>
        </w:rPr>
        <w:t xml:space="preserve"> technology-enhanced i</w:t>
      </w:r>
      <w:r w:rsidR="00B268BD" w:rsidRPr="00060C19">
        <w:rPr>
          <w:rFonts w:cs="Arial"/>
          <w:color w:val="000000"/>
          <w:sz w:val="20"/>
          <w:szCs w:val="20"/>
        </w:rPr>
        <w:t>tems</w:t>
      </w:r>
      <w:r w:rsidR="00BD4684" w:rsidRPr="00060C19">
        <w:rPr>
          <w:rFonts w:cs="Arial"/>
          <w:color w:val="000000"/>
          <w:sz w:val="20"/>
          <w:szCs w:val="20"/>
        </w:rPr>
        <w:t xml:space="preserve">. </w:t>
      </w:r>
    </w:p>
    <w:p w:rsidR="007C5ACF" w:rsidRPr="00060C19" w:rsidRDefault="007C5ACF" w:rsidP="007C5ACF">
      <w:pPr>
        <w:pStyle w:val="NoSpacing"/>
        <w:rPr>
          <w:rFonts w:cs="Arial"/>
          <w:color w:val="000000"/>
          <w:sz w:val="20"/>
          <w:szCs w:val="20"/>
        </w:rPr>
      </w:pPr>
    </w:p>
    <w:p w:rsidR="00B30AAE" w:rsidRPr="00060C19" w:rsidRDefault="00E90C77" w:rsidP="007C5ACF">
      <w:pPr>
        <w:pStyle w:val="NoSpacing"/>
        <w:rPr>
          <w:sz w:val="20"/>
          <w:szCs w:val="20"/>
        </w:rPr>
      </w:pPr>
      <w:r w:rsidRPr="00060C19">
        <w:rPr>
          <w:sz w:val="20"/>
          <w:szCs w:val="20"/>
        </w:rPr>
        <w:t>In Virginia and across the nation, t</w:t>
      </w:r>
      <w:r w:rsidR="00D20F07" w:rsidRPr="00060C19">
        <w:rPr>
          <w:sz w:val="20"/>
          <w:szCs w:val="20"/>
        </w:rPr>
        <w:t xml:space="preserve">echnology is rapidly changing </w:t>
      </w:r>
      <w:r w:rsidR="00C67C5B" w:rsidRPr="00060C19">
        <w:rPr>
          <w:sz w:val="20"/>
          <w:szCs w:val="20"/>
        </w:rPr>
        <w:t>how learning takes place</w:t>
      </w:r>
      <w:r w:rsidR="00B268BD" w:rsidRPr="00060C19">
        <w:rPr>
          <w:sz w:val="20"/>
          <w:szCs w:val="20"/>
        </w:rPr>
        <w:t xml:space="preserve"> through such innovations as </w:t>
      </w:r>
      <w:r w:rsidR="00D20F07" w:rsidRPr="00060C19">
        <w:rPr>
          <w:sz w:val="20"/>
          <w:szCs w:val="20"/>
        </w:rPr>
        <w:t xml:space="preserve">blended learning </w:t>
      </w:r>
      <w:r w:rsidR="00C67C5B" w:rsidRPr="00060C19">
        <w:rPr>
          <w:sz w:val="20"/>
          <w:szCs w:val="20"/>
        </w:rPr>
        <w:t xml:space="preserve">environments </w:t>
      </w:r>
      <w:r w:rsidR="00D20F07" w:rsidRPr="00060C19">
        <w:rPr>
          <w:sz w:val="20"/>
          <w:szCs w:val="20"/>
        </w:rPr>
        <w:t>and o</w:t>
      </w:r>
      <w:r w:rsidR="00BD4684" w:rsidRPr="00060C19">
        <w:rPr>
          <w:sz w:val="20"/>
          <w:szCs w:val="20"/>
        </w:rPr>
        <w:t>nline coursework.</w:t>
      </w:r>
      <w:r w:rsidR="00BF44F6" w:rsidRPr="00060C19">
        <w:rPr>
          <w:sz w:val="20"/>
          <w:szCs w:val="20"/>
        </w:rPr>
        <w:t xml:space="preserve"> B</w:t>
      </w:r>
      <w:r w:rsidR="00D20F07" w:rsidRPr="00060C19">
        <w:rPr>
          <w:sz w:val="20"/>
          <w:szCs w:val="20"/>
        </w:rPr>
        <w:t>eginning with the</w:t>
      </w:r>
      <w:r w:rsidR="00B268BD" w:rsidRPr="00060C19">
        <w:rPr>
          <w:sz w:val="20"/>
          <w:szCs w:val="20"/>
        </w:rPr>
        <w:t xml:space="preserve"> ninth grade class of</w:t>
      </w:r>
      <w:r w:rsidR="00D20F07" w:rsidRPr="00060C19">
        <w:rPr>
          <w:sz w:val="20"/>
          <w:szCs w:val="20"/>
        </w:rPr>
        <w:t xml:space="preserve"> </w:t>
      </w:r>
      <w:r w:rsidR="009761D1" w:rsidRPr="00060C19">
        <w:rPr>
          <w:sz w:val="20"/>
          <w:szCs w:val="20"/>
        </w:rPr>
        <w:t>2013-</w:t>
      </w:r>
      <w:r w:rsidR="00B268BD" w:rsidRPr="00060C19">
        <w:rPr>
          <w:sz w:val="20"/>
          <w:szCs w:val="20"/>
        </w:rPr>
        <w:t>20</w:t>
      </w:r>
      <w:r w:rsidR="00C67C5B" w:rsidRPr="00060C19">
        <w:rPr>
          <w:sz w:val="20"/>
          <w:szCs w:val="20"/>
        </w:rPr>
        <w:t>14</w:t>
      </w:r>
      <w:r w:rsidR="00B268BD" w:rsidRPr="00060C19">
        <w:rPr>
          <w:sz w:val="20"/>
          <w:szCs w:val="20"/>
        </w:rPr>
        <w:t>,</w:t>
      </w:r>
      <w:r w:rsidR="00E97A7D" w:rsidRPr="00060C19">
        <w:rPr>
          <w:sz w:val="20"/>
          <w:szCs w:val="20"/>
        </w:rPr>
        <w:t xml:space="preserve"> </w:t>
      </w:r>
      <w:r w:rsidR="00D20F07" w:rsidRPr="00060C19">
        <w:rPr>
          <w:sz w:val="20"/>
          <w:szCs w:val="20"/>
        </w:rPr>
        <w:t xml:space="preserve">graduation requirements </w:t>
      </w:r>
      <w:r w:rsidR="00B268BD" w:rsidRPr="00060C19">
        <w:rPr>
          <w:sz w:val="20"/>
          <w:szCs w:val="20"/>
        </w:rPr>
        <w:t>for</w:t>
      </w:r>
      <w:r w:rsidR="00D20F07" w:rsidRPr="00060C19">
        <w:rPr>
          <w:sz w:val="20"/>
          <w:szCs w:val="20"/>
        </w:rPr>
        <w:t xml:space="preserve"> earn</w:t>
      </w:r>
      <w:r w:rsidR="00B268BD" w:rsidRPr="00060C19">
        <w:rPr>
          <w:sz w:val="20"/>
          <w:szCs w:val="20"/>
        </w:rPr>
        <w:t>ing</w:t>
      </w:r>
      <w:r w:rsidR="00D20F07" w:rsidRPr="00060C19">
        <w:rPr>
          <w:sz w:val="20"/>
          <w:szCs w:val="20"/>
        </w:rPr>
        <w:t xml:space="preserve"> a standard or </w:t>
      </w:r>
      <w:r w:rsidR="00B268BD" w:rsidRPr="00060C19">
        <w:rPr>
          <w:sz w:val="20"/>
          <w:szCs w:val="20"/>
        </w:rPr>
        <w:t xml:space="preserve">an </w:t>
      </w:r>
      <w:r w:rsidR="00D20F07" w:rsidRPr="00060C19">
        <w:rPr>
          <w:sz w:val="20"/>
          <w:szCs w:val="20"/>
        </w:rPr>
        <w:t>a</w:t>
      </w:r>
      <w:r w:rsidR="00E97A7D" w:rsidRPr="00060C19">
        <w:rPr>
          <w:sz w:val="20"/>
          <w:szCs w:val="20"/>
        </w:rPr>
        <w:t xml:space="preserve">dvanced diploma will </w:t>
      </w:r>
      <w:r w:rsidR="00BF44F6" w:rsidRPr="00060C19">
        <w:rPr>
          <w:sz w:val="20"/>
          <w:szCs w:val="20"/>
        </w:rPr>
        <w:t xml:space="preserve">include the </w:t>
      </w:r>
      <w:r w:rsidR="00D20F07" w:rsidRPr="00060C19">
        <w:rPr>
          <w:sz w:val="20"/>
          <w:szCs w:val="20"/>
        </w:rPr>
        <w:t xml:space="preserve">successful completion of </w:t>
      </w:r>
      <w:r w:rsidR="00C87108" w:rsidRPr="00060C19">
        <w:rPr>
          <w:sz w:val="20"/>
          <w:szCs w:val="20"/>
        </w:rPr>
        <w:t xml:space="preserve">at least </w:t>
      </w:r>
      <w:r w:rsidR="00D20F07" w:rsidRPr="00060C19">
        <w:rPr>
          <w:sz w:val="20"/>
          <w:szCs w:val="20"/>
        </w:rPr>
        <w:t xml:space="preserve">one virtual course. As of September 2012, </w:t>
      </w:r>
      <w:r w:rsidR="00B268BD" w:rsidRPr="00060C19">
        <w:rPr>
          <w:sz w:val="20"/>
          <w:szCs w:val="20"/>
        </w:rPr>
        <w:t>Virginia wa</w:t>
      </w:r>
      <w:r w:rsidRPr="00060C19">
        <w:rPr>
          <w:sz w:val="20"/>
          <w:szCs w:val="20"/>
        </w:rPr>
        <w:t xml:space="preserve">s one of only </w:t>
      </w:r>
      <w:r w:rsidR="00D20F07" w:rsidRPr="00060C19">
        <w:rPr>
          <w:sz w:val="20"/>
          <w:szCs w:val="20"/>
        </w:rPr>
        <w:t xml:space="preserve">five states </w:t>
      </w:r>
      <w:r w:rsidRPr="00060C19">
        <w:rPr>
          <w:sz w:val="20"/>
          <w:szCs w:val="20"/>
        </w:rPr>
        <w:t xml:space="preserve">to </w:t>
      </w:r>
      <w:r w:rsidR="00D20F07" w:rsidRPr="00060C19">
        <w:rPr>
          <w:sz w:val="20"/>
          <w:szCs w:val="20"/>
        </w:rPr>
        <w:t>require students to complete an onl</w:t>
      </w:r>
      <w:r w:rsidR="00D45DDC" w:rsidRPr="00060C19">
        <w:rPr>
          <w:sz w:val="20"/>
          <w:szCs w:val="20"/>
        </w:rPr>
        <w:t>ine course in order to graduate. The other four states are</w:t>
      </w:r>
      <w:r w:rsidR="00D20F07" w:rsidRPr="00060C19">
        <w:rPr>
          <w:sz w:val="20"/>
          <w:szCs w:val="20"/>
        </w:rPr>
        <w:t xml:space="preserve"> Alabama, Florida, Idaho</w:t>
      </w:r>
      <w:r w:rsidR="00E7693A" w:rsidRPr="00060C19">
        <w:rPr>
          <w:sz w:val="20"/>
          <w:szCs w:val="20"/>
        </w:rPr>
        <w:t>,</w:t>
      </w:r>
      <w:r w:rsidR="00D45DDC" w:rsidRPr="00060C19">
        <w:rPr>
          <w:sz w:val="20"/>
          <w:szCs w:val="20"/>
        </w:rPr>
        <w:t xml:space="preserve"> and</w:t>
      </w:r>
      <w:r w:rsidR="00D20F07" w:rsidRPr="00060C19">
        <w:rPr>
          <w:sz w:val="20"/>
          <w:szCs w:val="20"/>
        </w:rPr>
        <w:t xml:space="preserve"> Michigan.</w:t>
      </w:r>
      <w:r w:rsidR="00B30AAE" w:rsidRPr="00060C19">
        <w:rPr>
          <w:sz w:val="20"/>
          <w:szCs w:val="20"/>
        </w:rPr>
        <w:t xml:space="preserve"> </w:t>
      </w:r>
      <w:r w:rsidR="00DA7CBB" w:rsidRPr="00060C19">
        <w:rPr>
          <w:sz w:val="20"/>
          <w:szCs w:val="20"/>
        </w:rPr>
        <w:t xml:space="preserve">Virginia is </w:t>
      </w:r>
      <w:r w:rsidR="00D20F07" w:rsidRPr="00060C19">
        <w:rPr>
          <w:sz w:val="20"/>
          <w:szCs w:val="20"/>
        </w:rPr>
        <w:t xml:space="preserve">using technology to </w:t>
      </w:r>
      <w:r w:rsidR="00443BA9" w:rsidRPr="00060C19">
        <w:rPr>
          <w:sz w:val="20"/>
          <w:szCs w:val="20"/>
        </w:rPr>
        <w:t>e</w:t>
      </w:r>
      <w:r w:rsidR="00D20F07" w:rsidRPr="00060C19">
        <w:rPr>
          <w:sz w:val="20"/>
          <w:szCs w:val="20"/>
        </w:rPr>
        <w:t xml:space="preserve">nsure equal access </w:t>
      </w:r>
      <w:r w:rsidR="00D45DDC" w:rsidRPr="00060C19">
        <w:rPr>
          <w:sz w:val="20"/>
          <w:szCs w:val="20"/>
        </w:rPr>
        <w:t>to</w:t>
      </w:r>
      <w:r w:rsidR="00D20F07" w:rsidRPr="00060C19">
        <w:rPr>
          <w:sz w:val="20"/>
          <w:szCs w:val="20"/>
        </w:rPr>
        <w:t xml:space="preserve"> education for all students. </w:t>
      </w:r>
      <w:r w:rsidR="00007CB9" w:rsidRPr="00060C19">
        <w:rPr>
          <w:sz w:val="20"/>
          <w:szCs w:val="20"/>
        </w:rPr>
        <w:t>Virginia’s virtual school, Virtual Virginia (VVA)</w:t>
      </w:r>
      <w:r w:rsidR="00D45DDC" w:rsidRPr="00060C19">
        <w:rPr>
          <w:sz w:val="20"/>
          <w:szCs w:val="20"/>
        </w:rPr>
        <w:t>,</w:t>
      </w:r>
      <w:r w:rsidR="00007CB9" w:rsidRPr="00060C19">
        <w:rPr>
          <w:sz w:val="20"/>
          <w:szCs w:val="20"/>
        </w:rPr>
        <w:t xml:space="preserve"> offers</w:t>
      </w:r>
      <w:r w:rsidR="00007CB9" w:rsidRPr="00060C19">
        <w:rPr>
          <w:b/>
          <w:sz w:val="20"/>
          <w:szCs w:val="20"/>
        </w:rPr>
        <w:t xml:space="preserve"> </w:t>
      </w:r>
      <w:r w:rsidR="00B268BD" w:rsidRPr="00060C19">
        <w:rPr>
          <w:sz w:val="20"/>
          <w:szCs w:val="20"/>
        </w:rPr>
        <w:t>AP and other</w:t>
      </w:r>
      <w:r w:rsidR="00007CB9" w:rsidRPr="00060C19">
        <w:rPr>
          <w:sz w:val="20"/>
          <w:szCs w:val="20"/>
        </w:rPr>
        <w:t xml:space="preserve"> core academic and elective cour</w:t>
      </w:r>
      <w:r w:rsidR="0079513E" w:rsidRPr="00060C19">
        <w:rPr>
          <w:sz w:val="20"/>
          <w:szCs w:val="20"/>
        </w:rPr>
        <w:t xml:space="preserve">ses. VVA reported </w:t>
      </w:r>
      <w:r w:rsidR="00007CB9" w:rsidRPr="00060C19">
        <w:rPr>
          <w:sz w:val="20"/>
          <w:szCs w:val="20"/>
        </w:rPr>
        <w:t xml:space="preserve">6,460 </w:t>
      </w:r>
      <w:r w:rsidR="0079513E" w:rsidRPr="00060C19">
        <w:rPr>
          <w:sz w:val="20"/>
          <w:szCs w:val="20"/>
        </w:rPr>
        <w:t xml:space="preserve">course enrollments </w:t>
      </w:r>
      <w:r w:rsidR="00007CB9" w:rsidRPr="00060C19">
        <w:rPr>
          <w:sz w:val="20"/>
          <w:szCs w:val="20"/>
        </w:rPr>
        <w:t>in credit</w:t>
      </w:r>
      <w:r w:rsidR="00B268BD" w:rsidRPr="00060C19">
        <w:rPr>
          <w:sz w:val="20"/>
          <w:szCs w:val="20"/>
        </w:rPr>
        <w:t>-bearing</w:t>
      </w:r>
      <w:r w:rsidR="00007CB9" w:rsidRPr="00060C19">
        <w:rPr>
          <w:sz w:val="20"/>
          <w:szCs w:val="20"/>
        </w:rPr>
        <w:t xml:space="preserve"> courses in 2011-2012, up 2% from the previous school year. Over 64% of VVA’s enrollment is in AP courses</w:t>
      </w:r>
      <w:r w:rsidR="0079513E" w:rsidRPr="00060C19">
        <w:rPr>
          <w:sz w:val="20"/>
          <w:szCs w:val="20"/>
        </w:rPr>
        <w:t xml:space="preserve"> (Evergreen Education Group, 2012</w:t>
      </w:r>
      <w:r w:rsidR="00517E94" w:rsidRPr="00060C19">
        <w:rPr>
          <w:sz w:val="20"/>
          <w:szCs w:val="20"/>
        </w:rPr>
        <w:t>)</w:t>
      </w:r>
      <w:r w:rsidR="00007CB9" w:rsidRPr="00060C19">
        <w:rPr>
          <w:sz w:val="20"/>
          <w:szCs w:val="20"/>
        </w:rPr>
        <w:t xml:space="preserve">. </w:t>
      </w:r>
    </w:p>
    <w:p w:rsidR="007C5ACF" w:rsidRPr="00060C19" w:rsidRDefault="007C5ACF" w:rsidP="007C5ACF">
      <w:pPr>
        <w:pStyle w:val="NoSpacing"/>
        <w:rPr>
          <w:sz w:val="20"/>
          <w:szCs w:val="20"/>
        </w:rPr>
      </w:pPr>
    </w:p>
    <w:p w:rsidR="0002228F" w:rsidRPr="00060C19" w:rsidRDefault="00140A38" w:rsidP="007C5ACF">
      <w:pPr>
        <w:pStyle w:val="NoSpacing"/>
        <w:rPr>
          <w:sz w:val="20"/>
          <w:szCs w:val="20"/>
        </w:rPr>
      </w:pPr>
      <w:r w:rsidRPr="00060C19">
        <w:rPr>
          <w:rFonts w:cs="Arial"/>
          <w:color w:val="000000"/>
          <w:sz w:val="20"/>
          <w:szCs w:val="20"/>
        </w:rPr>
        <w:t xml:space="preserve">The </w:t>
      </w:r>
      <w:r w:rsidRPr="00060C19">
        <w:rPr>
          <w:rFonts w:cs="Arial"/>
          <w:i/>
          <w:iCs/>
          <w:color w:val="000000"/>
          <w:sz w:val="20"/>
          <w:szCs w:val="20"/>
        </w:rPr>
        <w:t>Code of Virginia</w:t>
      </w:r>
      <w:r w:rsidRPr="00060C19">
        <w:rPr>
          <w:rFonts w:cs="Arial"/>
          <w:color w:val="000000"/>
          <w:sz w:val="20"/>
          <w:szCs w:val="20"/>
        </w:rPr>
        <w:t xml:space="preserve"> allows school divisions to offer online instruction to students in multiple school divisions by entering into a contract with any private organization, educational institution, or nonprofit virtual school organization that has been approved by the superintendent of public instruction to </w:t>
      </w:r>
      <w:r w:rsidRPr="00060C19">
        <w:rPr>
          <w:rFonts w:cs="Arial"/>
          <w:sz w:val="20"/>
          <w:szCs w:val="20"/>
        </w:rPr>
        <w:t>operate as a multidivisional online provider. Criteria for approving and monitoring multidivisional online providers were approved by the Virginia Board of Education</w:t>
      </w:r>
      <w:r w:rsidR="00672FA5" w:rsidRPr="00060C19">
        <w:rPr>
          <w:rFonts w:cs="Arial"/>
          <w:sz w:val="20"/>
          <w:szCs w:val="20"/>
        </w:rPr>
        <w:t xml:space="preserve"> (VBOE)</w:t>
      </w:r>
      <w:r w:rsidR="00A52633" w:rsidRPr="00060C19">
        <w:rPr>
          <w:rFonts w:cs="Arial"/>
          <w:sz w:val="20"/>
          <w:szCs w:val="20"/>
        </w:rPr>
        <w:t xml:space="preserve"> </w:t>
      </w:r>
      <w:r w:rsidRPr="00060C19">
        <w:rPr>
          <w:rFonts w:cs="Arial"/>
          <w:sz w:val="20"/>
          <w:szCs w:val="20"/>
        </w:rPr>
        <w:t xml:space="preserve">in 2010. </w:t>
      </w:r>
      <w:r w:rsidR="009761D1" w:rsidRPr="00060C19">
        <w:rPr>
          <w:sz w:val="20"/>
          <w:szCs w:val="20"/>
        </w:rPr>
        <w:t xml:space="preserve">Virginia students seeking a full-time online school can access </w:t>
      </w:r>
      <w:r w:rsidR="00E25ACD" w:rsidRPr="00060C19">
        <w:rPr>
          <w:sz w:val="20"/>
          <w:szCs w:val="20"/>
        </w:rPr>
        <w:t>Virginia’s Virtual Academy (VAVA)</w:t>
      </w:r>
      <w:r w:rsidR="00B268BD" w:rsidRPr="00060C19">
        <w:rPr>
          <w:sz w:val="20"/>
          <w:szCs w:val="20"/>
        </w:rPr>
        <w:t>,</w:t>
      </w:r>
      <w:r w:rsidR="00AF6251" w:rsidRPr="00060C19">
        <w:rPr>
          <w:sz w:val="20"/>
          <w:szCs w:val="20"/>
        </w:rPr>
        <w:t xml:space="preserve"> </w:t>
      </w:r>
      <w:r w:rsidR="009761D1" w:rsidRPr="00060C19">
        <w:rPr>
          <w:sz w:val="20"/>
          <w:szCs w:val="20"/>
        </w:rPr>
        <w:t>formed through a partnership</w:t>
      </w:r>
      <w:r w:rsidR="00E25ACD" w:rsidRPr="00060C19">
        <w:rPr>
          <w:sz w:val="20"/>
          <w:szCs w:val="20"/>
        </w:rPr>
        <w:t xml:space="preserve"> between </w:t>
      </w:r>
      <w:r w:rsidR="00B268BD" w:rsidRPr="00060C19">
        <w:rPr>
          <w:sz w:val="20"/>
          <w:szCs w:val="20"/>
        </w:rPr>
        <w:t xml:space="preserve">the </w:t>
      </w:r>
      <w:r w:rsidR="009761D1" w:rsidRPr="00060C19">
        <w:rPr>
          <w:sz w:val="20"/>
          <w:szCs w:val="20"/>
        </w:rPr>
        <w:t xml:space="preserve">Carroll County </w:t>
      </w:r>
      <w:r w:rsidR="00B268BD" w:rsidRPr="00060C19">
        <w:rPr>
          <w:sz w:val="20"/>
          <w:szCs w:val="20"/>
        </w:rPr>
        <w:t>Public Schools</w:t>
      </w:r>
      <w:r w:rsidR="00AF6251" w:rsidRPr="00060C19">
        <w:rPr>
          <w:sz w:val="20"/>
          <w:szCs w:val="20"/>
        </w:rPr>
        <w:t xml:space="preserve"> </w:t>
      </w:r>
      <w:r w:rsidR="00E25ACD" w:rsidRPr="00060C19">
        <w:rPr>
          <w:sz w:val="20"/>
          <w:szCs w:val="20"/>
        </w:rPr>
        <w:t>a</w:t>
      </w:r>
      <w:r w:rsidR="00AF6251" w:rsidRPr="00060C19">
        <w:rPr>
          <w:sz w:val="20"/>
          <w:szCs w:val="20"/>
        </w:rPr>
        <w:t>nd K12 Inc. located in Herndon</w:t>
      </w:r>
      <w:r w:rsidR="002D529F" w:rsidRPr="00060C19">
        <w:rPr>
          <w:sz w:val="20"/>
          <w:szCs w:val="20"/>
        </w:rPr>
        <w:t>, Virginia</w:t>
      </w:r>
      <w:r w:rsidR="00E25ACD" w:rsidRPr="00060C19">
        <w:rPr>
          <w:sz w:val="20"/>
          <w:szCs w:val="20"/>
        </w:rPr>
        <w:t xml:space="preserve">. </w:t>
      </w:r>
      <w:r w:rsidR="00A52633" w:rsidRPr="00060C19">
        <w:rPr>
          <w:sz w:val="20"/>
          <w:szCs w:val="20"/>
        </w:rPr>
        <w:t xml:space="preserve"> </w:t>
      </w:r>
      <w:r w:rsidR="00BF44F6" w:rsidRPr="00060C19">
        <w:rPr>
          <w:sz w:val="20"/>
          <w:szCs w:val="20"/>
        </w:rPr>
        <w:t>Although virtual schools are a positive resource for many families, p</w:t>
      </w:r>
      <w:r w:rsidR="001B07D2" w:rsidRPr="00060C19">
        <w:rPr>
          <w:sz w:val="20"/>
          <w:szCs w:val="20"/>
        </w:rPr>
        <w:t xml:space="preserve">roviders </w:t>
      </w:r>
      <w:r w:rsidR="000B1AD8" w:rsidRPr="00060C19">
        <w:rPr>
          <w:sz w:val="20"/>
          <w:szCs w:val="20"/>
        </w:rPr>
        <w:t>of full-time online school</w:t>
      </w:r>
      <w:r w:rsidR="00B268BD" w:rsidRPr="00060C19">
        <w:rPr>
          <w:sz w:val="20"/>
          <w:szCs w:val="20"/>
        </w:rPr>
        <w:t>s</w:t>
      </w:r>
      <w:r w:rsidR="000B1AD8" w:rsidRPr="00060C19">
        <w:rPr>
          <w:sz w:val="20"/>
          <w:szCs w:val="20"/>
        </w:rPr>
        <w:t xml:space="preserve"> have been </w:t>
      </w:r>
      <w:r w:rsidR="001B07D2" w:rsidRPr="00060C19">
        <w:rPr>
          <w:sz w:val="20"/>
          <w:szCs w:val="20"/>
        </w:rPr>
        <w:t xml:space="preserve">criticized for not providing </w:t>
      </w:r>
      <w:r w:rsidR="000352C7" w:rsidRPr="00060C19">
        <w:rPr>
          <w:sz w:val="20"/>
          <w:szCs w:val="20"/>
        </w:rPr>
        <w:t>research-</w:t>
      </w:r>
      <w:r w:rsidR="00517E94" w:rsidRPr="00060C19">
        <w:rPr>
          <w:sz w:val="20"/>
          <w:szCs w:val="20"/>
        </w:rPr>
        <w:t xml:space="preserve">based </w:t>
      </w:r>
      <w:r w:rsidR="001B07D2" w:rsidRPr="00060C19">
        <w:rPr>
          <w:sz w:val="20"/>
          <w:szCs w:val="20"/>
        </w:rPr>
        <w:t>evidence that students perform as well in a virtual setti</w:t>
      </w:r>
      <w:r w:rsidR="00575CDE" w:rsidRPr="00060C19">
        <w:rPr>
          <w:sz w:val="20"/>
          <w:szCs w:val="20"/>
        </w:rPr>
        <w:t>ng as compared to</w:t>
      </w:r>
      <w:r w:rsidR="001B07D2" w:rsidRPr="00060C19">
        <w:rPr>
          <w:sz w:val="20"/>
          <w:szCs w:val="20"/>
        </w:rPr>
        <w:t xml:space="preserve"> a standard classroom. </w:t>
      </w:r>
    </w:p>
    <w:p w:rsidR="007C5ACF" w:rsidRPr="00060C19" w:rsidRDefault="007C5ACF" w:rsidP="007C5ACF">
      <w:pPr>
        <w:pStyle w:val="NoSpacing"/>
        <w:rPr>
          <w:sz w:val="20"/>
          <w:szCs w:val="20"/>
        </w:rPr>
      </w:pPr>
    </w:p>
    <w:p w:rsidR="00081560" w:rsidRPr="00060C19" w:rsidRDefault="007077C5" w:rsidP="007C5ACF">
      <w:pPr>
        <w:pStyle w:val="NoSpacing"/>
        <w:rPr>
          <w:sz w:val="20"/>
          <w:szCs w:val="20"/>
        </w:rPr>
      </w:pPr>
      <w:r w:rsidRPr="00060C19">
        <w:rPr>
          <w:rFonts w:cs="Arial"/>
          <w:sz w:val="20"/>
          <w:szCs w:val="20"/>
        </w:rPr>
        <w:t>Virginia is also expanding options to education through the development of charter schools. Currently Virginia has four public charter schools serving students in Albemarle and York counties and in the City of Richmond.</w:t>
      </w:r>
      <w:r w:rsidR="002F5233" w:rsidRPr="00060C19">
        <w:rPr>
          <w:sz w:val="20"/>
          <w:szCs w:val="20"/>
        </w:rPr>
        <w:t xml:space="preserve"> </w:t>
      </w:r>
      <w:r w:rsidR="00081560" w:rsidRPr="00060C19">
        <w:rPr>
          <w:sz w:val="20"/>
          <w:szCs w:val="20"/>
        </w:rPr>
        <w:t xml:space="preserve">Legislation from the 2013 </w:t>
      </w:r>
      <w:r w:rsidR="00B268BD" w:rsidRPr="00060C19">
        <w:rPr>
          <w:sz w:val="20"/>
          <w:szCs w:val="20"/>
        </w:rPr>
        <w:t xml:space="preserve">Session of the Virginia </w:t>
      </w:r>
      <w:r w:rsidR="00081560" w:rsidRPr="00060C19">
        <w:rPr>
          <w:sz w:val="20"/>
          <w:szCs w:val="20"/>
        </w:rPr>
        <w:t xml:space="preserve">General Assembly </w:t>
      </w:r>
      <w:r w:rsidR="00B268BD" w:rsidRPr="00060C19">
        <w:rPr>
          <w:sz w:val="20"/>
          <w:szCs w:val="20"/>
        </w:rPr>
        <w:t>p</w:t>
      </w:r>
      <w:r w:rsidR="005211A7" w:rsidRPr="00060C19">
        <w:rPr>
          <w:rFonts w:cs="Arial"/>
          <w:sz w:val="20"/>
          <w:szCs w:val="20"/>
        </w:rPr>
        <w:t>rovides that charter school applications initiated by one or more local school boards are not subject to review by the Board of Education.</w:t>
      </w:r>
      <w:r w:rsidR="00081560" w:rsidRPr="00060C19">
        <w:rPr>
          <w:sz w:val="20"/>
          <w:szCs w:val="20"/>
        </w:rPr>
        <w:t xml:space="preserve"> </w:t>
      </w:r>
      <w:r w:rsidR="0002228F" w:rsidRPr="00060C19">
        <w:rPr>
          <w:sz w:val="20"/>
          <w:szCs w:val="20"/>
        </w:rPr>
        <w:t xml:space="preserve">An effort to give the Board of Education authority to establish charter schools was denied. </w:t>
      </w:r>
    </w:p>
    <w:p w:rsidR="00E90C77" w:rsidRPr="00060C19" w:rsidRDefault="007077C5" w:rsidP="007C5ACF">
      <w:pPr>
        <w:pStyle w:val="NoSpacing"/>
        <w:rPr>
          <w:rFonts w:cs="Arial"/>
          <w:sz w:val="20"/>
          <w:szCs w:val="20"/>
        </w:rPr>
      </w:pPr>
      <w:r w:rsidRPr="00060C19">
        <w:rPr>
          <w:sz w:val="20"/>
          <w:szCs w:val="20"/>
        </w:rPr>
        <w:lastRenderedPageBreak/>
        <w:t xml:space="preserve">Providing </w:t>
      </w:r>
      <w:r w:rsidR="00B268BD" w:rsidRPr="00060C19">
        <w:rPr>
          <w:sz w:val="20"/>
          <w:szCs w:val="20"/>
        </w:rPr>
        <w:t>all</w:t>
      </w:r>
      <w:r w:rsidR="00BD4684" w:rsidRPr="00060C19">
        <w:rPr>
          <w:sz w:val="20"/>
          <w:szCs w:val="20"/>
        </w:rPr>
        <w:t xml:space="preserve"> young learners</w:t>
      </w:r>
      <w:r w:rsidR="00B268BD" w:rsidRPr="00060C19">
        <w:rPr>
          <w:sz w:val="20"/>
          <w:szCs w:val="20"/>
        </w:rPr>
        <w:t xml:space="preserve"> access to preschool education </w:t>
      </w:r>
      <w:r w:rsidR="00BD4684" w:rsidRPr="00060C19">
        <w:rPr>
          <w:sz w:val="20"/>
          <w:szCs w:val="20"/>
        </w:rPr>
        <w:t xml:space="preserve">is </w:t>
      </w:r>
      <w:r w:rsidR="00517E94" w:rsidRPr="00060C19">
        <w:rPr>
          <w:sz w:val="20"/>
          <w:szCs w:val="20"/>
        </w:rPr>
        <w:t xml:space="preserve">considered </w:t>
      </w:r>
      <w:r w:rsidR="00BD4684" w:rsidRPr="00060C19">
        <w:rPr>
          <w:sz w:val="20"/>
          <w:szCs w:val="20"/>
        </w:rPr>
        <w:t xml:space="preserve">another key aspect of a successful </w:t>
      </w:r>
      <w:r w:rsidRPr="00060C19">
        <w:rPr>
          <w:sz w:val="20"/>
          <w:szCs w:val="20"/>
        </w:rPr>
        <w:t>P</w:t>
      </w:r>
      <w:r w:rsidR="004653D9" w:rsidRPr="00060C19">
        <w:rPr>
          <w:sz w:val="20"/>
          <w:szCs w:val="20"/>
        </w:rPr>
        <w:t>re</w:t>
      </w:r>
      <w:r w:rsidR="00BD4684" w:rsidRPr="00060C19">
        <w:rPr>
          <w:sz w:val="20"/>
          <w:szCs w:val="20"/>
        </w:rPr>
        <w:t xml:space="preserve">K-12 program. </w:t>
      </w:r>
      <w:r w:rsidR="00E90C77" w:rsidRPr="00060C19">
        <w:rPr>
          <w:sz w:val="20"/>
          <w:szCs w:val="20"/>
        </w:rPr>
        <w:t xml:space="preserve">In his 2013 State of the Union Address, President Obama announced a plan to </w:t>
      </w:r>
      <w:r w:rsidR="00C67C5B" w:rsidRPr="00060C19">
        <w:rPr>
          <w:sz w:val="20"/>
          <w:szCs w:val="20"/>
        </w:rPr>
        <w:t>provide preschool for all four-year</w:t>
      </w:r>
      <w:r w:rsidR="00E90C77" w:rsidRPr="00060C19">
        <w:rPr>
          <w:sz w:val="20"/>
          <w:szCs w:val="20"/>
        </w:rPr>
        <w:t xml:space="preserve"> old children</w:t>
      </w:r>
      <w:r w:rsidRPr="00060C19">
        <w:rPr>
          <w:sz w:val="20"/>
          <w:szCs w:val="20"/>
        </w:rPr>
        <w:t xml:space="preserve"> living in the United States</w:t>
      </w:r>
      <w:r w:rsidR="00E90C77" w:rsidRPr="00060C19">
        <w:rPr>
          <w:sz w:val="20"/>
          <w:szCs w:val="20"/>
        </w:rPr>
        <w:t>. Currently</w:t>
      </w:r>
      <w:r w:rsidR="00B268BD" w:rsidRPr="00060C19">
        <w:rPr>
          <w:sz w:val="20"/>
          <w:szCs w:val="20"/>
        </w:rPr>
        <w:t>,</w:t>
      </w:r>
      <w:r w:rsidR="00E90C77" w:rsidRPr="00060C19">
        <w:rPr>
          <w:sz w:val="20"/>
          <w:szCs w:val="20"/>
        </w:rPr>
        <w:t xml:space="preserve"> Virginia’s preschool program</w:t>
      </w:r>
      <w:r w:rsidR="00B268BD" w:rsidRPr="00060C19">
        <w:rPr>
          <w:sz w:val="20"/>
          <w:szCs w:val="20"/>
        </w:rPr>
        <w:t>s</w:t>
      </w:r>
      <w:r w:rsidR="00E90C77" w:rsidRPr="00060C19">
        <w:rPr>
          <w:sz w:val="20"/>
          <w:szCs w:val="20"/>
        </w:rPr>
        <w:t xml:space="preserve"> target students from low</w:t>
      </w:r>
      <w:r w:rsidRPr="00060C19">
        <w:rPr>
          <w:sz w:val="20"/>
          <w:szCs w:val="20"/>
        </w:rPr>
        <w:t>-</w:t>
      </w:r>
      <w:r w:rsidR="00E90C77" w:rsidRPr="00060C19">
        <w:rPr>
          <w:sz w:val="20"/>
          <w:szCs w:val="20"/>
        </w:rPr>
        <w:t xml:space="preserve">income families. </w:t>
      </w:r>
      <w:r w:rsidR="00E90C77" w:rsidRPr="00060C19">
        <w:rPr>
          <w:rFonts w:cs="Arial"/>
          <w:sz w:val="20"/>
          <w:szCs w:val="20"/>
        </w:rPr>
        <w:t xml:space="preserve"> President Obama’s </w:t>
      </w:r>
      <w:r w:rsidR="00146EB8" w:rsidRPr="00060C19">
        <w:rPr>
          <w:rFonts w:cs="Arial"/>
          <w:sz w:val="20"/>
          <w:szCs w:val="20"/>
        </w:rPr>
        <w:t>plan will likely include a</w:t>
      </w:r>
      <w:r w:rsidR="005211A7" w:rsidRPr="00060C19">
        <w:rPr>
          <w:rFonts w:cs="Arial"/>
          <w:sz w:val="20"/>
          <w:szCs w:val="20"/>
        </w:rPr>
        <w:t xml:space="preserve"> cost sharing partnership </w:t>
      </w:r>
      <w:r w:rsidR="00E90C77" w:rsidRPr="00060C19">
        <w:rPr>
          <w:rFonts w:cs="Arial"/>
          <w:sz w:val="20"/>
          <w:szCs w:val="20"/>
        </w:rPr>
        <w:t xml:space="preserve">with </w:t>
      </w:r>
      <w:r w:rsidRPr="00060C19">
        <w:rPr>
          <w:rFonts w:cs="Arial"/>
          <w:sz w:val="20"/>
          <w:szCs w:val="20"/>
        </w:rPr>
        <w:t>states</w:t>
      </w:r>
      <w:r w:rsidR="00E90C77" w:rsidRPr="00060C19">
        <w:rPr>
          <w:rFonts w:cs="Arial"/>
          <w:sz w:val="20"/>
          <w:szCs w:val="20"/>
        </w:rPr>
        <w:t xml:space="preserve"> to extend federal funds to expand high-quality public preschool</w:t>
      </w:r>
      <w:r w:rsidR="00B268BD" w:rsidRPr="00060C19">
        <w:rPr>
          <w:rFonts w:cs="Arial"/>
          <w:sz w:val="20"/>
          <w:szCs w:val="20"/>
        </w:rPr>
        <w:t>s</w:t>
      </w:r>
      <w:r w:rsidR="00E90C77" w:rsidRPr="00060C19">
        <w:rPr>
          <w:rFonts w:cs="Arial"/>
          <w:sz w:val="20"/>
          <w:szCs w:val="20"/>
        </w:rPr>
        <w:t xml:space="preserve">. </w:t>
      </w:r>
    </w:p>
    <w:p w:rsidR="007C5ACF" w:rsidRPr="00060C19" w:rsidRDefault="007C5ACF" w:rsidP="007C5ACF">
      <w:pPr>
        <w:pStyle w:val="NoSpacing"/>
        <w:rPr>
          <w:sz w:val="20"/>
          <w:szCs w:val="20"/>
        </w:rPr>
      </w:pPr>
    </w:p>
    <w:p w:rsidR="002547D6" w:rsidRPr="00060C19" w:rsidRDefault="00007CB9" w:rsidP="007C5ACF">
      <w:pPr>
        <w:pStyle w:val="NoSpacing"/>
        <w:rPr>
          <w:sz w:val="20"/>
          <w:szCs w:val="20"/>
        </w:rPr>
      </w:pPr>
      <w:r w:rsidRPr="00060C19">
        <w:rPr>
          <w:sz w:val="20"/>
          <w:szCs w:val="20"/>
        </w:rPr>
        <w:t xml:space="preserve">Overall, </w:t>
      </w:r>
      <w:r w:rsidR="00351F8E" w:rsidRPr="00060C19">
        <w:rPr>
          <w:sz w:val="20"/>
          <w:szCs w:val="20"/>
        </w:rPr>
        <w:t>Virginia’s system of education</w:t>
      </w:r>
      <w:r w:rsidRPr="00060C19">
        <w:rPr>
          <w:sz w:val="20"/>
          <w:szCs w:val="20"/>
        </w:rPr>
        <w:t xml:space="preserve"> was ranked </w:t>
      </w:r>
      <w:r w:rsidR="000352C7" w:rsidRPr="00060C19">
        <w:rPr>
          <w:sz w:val="20"/>
          <w:szCs w:val="20"/>
        </w:rPr>
        <w:t>fourth</w:t>
      </w:r>
      <w:r w:rsidRPr="00060C19">
        <w:rPr>
          <w:sz w:val="20"/>
          <w:szCs w:val="20"/>
        </w:rPr>
        <w:t xml:space="preserve"> </w:t>
      </w:r>
      <w:r w:rsidR="001072B2" w:rsidRPr="00060C19">
        <w:rPr>
          <w:sz w:val="20"/>
          <w:szCs w:val="20"/>
        </w:rPr>
        <w:t xml:space="preserve">in the nation </w:t>
      </w:r>
      <w:r w:rsidR="00351F8E" w:rsidRPr="00060C19">
        <w:rPr>
          <w:sz w:val="20"/>
          <w:szCs w:val="20"/>
        </w:rPr>
        <w:t xml:space="preserve">on the Education Week: </w:t>
      </w:r>
      <w:r w:rsidR="00351F8E" w:rsidRPr="00060C19">
        <w:rPr>
          <w:i/>
          <w:sz w:val="20"/>
          <w:szCs w:val="20"/>
        </w:rPr>
        <w:t>Quality Counts</w:t>
      </w:r>
      <w:r w:rsidR="00351F8E" w:rsidRPr="00060C19">
        <w:rPr>
          <w:sz w:val="20"/>
          <w:szCs w:val="20"/>
        </w:rPr>
        <w:t xml:space="preserve"> 2013 Report. </w:t>
      </w:r>
      <w:r w:rsidR="00F64022" w:rsidRPr="00060C19">
        <w:rPr>
          <w:sz w:val="20"/>
          <w:szCs w:val="20"/>
        </w:rPr>
        <w:t>S</w:t>
      </w:r>
      <w:r w:rsidR="003E68C5" w:rsidRPr="00060C19">
        <w:rPr>
          <w:sz w:val="20"/>
          <w:szCs w:val="20"/>
        </w:rPr>
        <w:t>tatewide s</w:t>
      </w:r>
      <w:r w:rsidR="00F64022" w:rsidRPr="00060C19">
        <w:rPr>
          <w:sz w:val="20"/>
          <w:szCs w:val="20"/>
        </w:rPr>
        <w:t>chool accreditation ratings in Virginia are based upon student performance on the Standard</w:t>
      </w:r>
      <w:r w:rsidR="00F71B8C" w:rsidRPr="00060C19">
        <w:rPr>
          <w:sz w:val="20"/>
          <w:szCs w:val="20"/>
        </w:rPr>
        <w:t>s</w:t>
      </w:r>
      <w:r w:rsidR="00F64022" w:rsidRPr="00060C19">
        <w:rPr>
          <w:sz w:val="20"/>
          <w:szCs w:val="20"/>
        </w:rPr>
        <w:t xml:space="preserve"> of Learning </w:t>
      </w:r>
      <w:r w:rsidR="008A5866" w:rsidRPr="00060C19">
        <w:rPr>
          <w:sz w:val="20"/>
          <w:szCs w:val="20"/>
        </w:rPr>
        <w:t xml:space="preserve">(SOL) </w:t>
      </w:r>
      <w:r w:rsidR="00F64022" w:rsidRPr="00060C19">
        <w:rPr>
          <w:sz w:val="20"/>
          <w:szCs w:val="20"/>
        </w:rPr>
        <w:t>tests and other approved assessments. Virginia</w:t>
      </w:r>
      <w:r w:rsidR="00E3312C" w:rsidRPr="00060C19">
        <w:rPr>
          <w:sz w:val="20"/>
          <w:szCs w:val="20"/>
        </w:rPr>
        <w:t xml:space="preserve"> </w:t>
      </w:r>
      <w:r w:rsidR="00F71B8C" w:rsidRPr="00060C19">
        <w:rPr>
          <w:sz w:val="20"/>
          <w:szCs w:val="20"/>
        </w:rPr>
        <w:t>is</w:t>
      </w:r>
      <w:r w:rsidR="006D3AB5" w:rsidRPr="00060C19">
        <w:rPr>
          <w:sz w:val="20"/>
          <w:szCs w:val="20"/>
        </w:rPr>
        <w:t xml:space="preserve"> </w:t>
      </w:r>
      <w:r w:rsidR="000E6ABC" w:rsidRPr="00060C19">
        <w:rPr>
          <w:sz w:val="20"/>
          <w:szCs w:val="20"/>
        </w:rPr>
        <w:t>one of only four</w:t>
      </w:r>
      <w:r w:rsidR="00F71B8C" w:rsidRPr="00060C19">
        <w:rPr>
          <w:sz w:val="20"/>
          <w:szCs w:val="20"/>
        </w:rPr>
        <w:t xml:space="preserve"> states </w:t>
      </w:r>
      <w:r w:rsidR="008A5866" w:rsidRPr="00060C19">
        <w:rPr>
          <w:sz w:val="20"/>
          <w:szCs w:val="20"/>
        </w:rPr>
        <w:t>that chose</w:t>
      </w:r>
      <w:r w:rsidR="00F71B8C" w:rsidRPr="00060C19">
        <w:rPr>
          <w:sz w:val="20"/>
          <w:szCs w:val="20"/>
        </w:rPr>
        <w:t xml:space="preserve"> not </w:t>
      </w:r>
      <w:r w:rsidR="008A5866" w:rsidRPr="00060C19">
        <w:rPr>
          <w:sz w:val="20"/>
          <w:szCs w:val="20"/>
        </w:rPr>
        <w:t xml:space="preserve">to </w:t>
      </w:r>
      <w:r w:rsidR="00F71B8C" w:rsidRPr="00060C19">
        <w:rPr>
          <w:sz w:val="20"/>
          <w:szCs w:val="20"/>
        </w:rPr>
        <w:t>adopt the national Common Core standards</w:t>
      </w:r>
      <w:r w:rsidR="002037E3" w:rsidRPr="00060C19">
        <w:rPr>
          <w:sz w:val="20"/>
          <w:szCs w:val="20"/>
        </w:rPr>
        <w:t>,</w:t>
      </w:r>
      <w:r w:rsidR="00F71B8C" w:rsidRPr="00060C19">
        <w:rPr>
          <w:sz w:val="20"/>
          <w:szCs w:val="20"/>
        </w:rPr>
        <w:t xml:space="preserve"> preferring instead</w:t>
      </w:r>
      <w:r w:rsidR="008A5866" w:rsidRPr="00060C19">
        <w:rPr>
          <w:sz w:val="20"/>
          <w:szCs w:val="20"/>
        </w:rPr>
        <w:t xml:space="preserve"> to</w:t>
      </w:r>
      <w:r w:rsidR="00F71B8C" w:rsidRPr="00060C19">
        <w:rPr>
          <w:sz w:val="20"/>
          <w:szCs w:val="20"/>
        </w:rPr>
        <w:t xml:space="preserve"> </w:t>
      </w:r>
      <w:r w:rsidR="006D3AB5" w:rsidRPr="00060C19">
        <w:rPr>
          <w:sz w:val="20"/>
          <w:szCs w:val="20"/>
        </w:rPr>
        <w:t xml:space="preserve">keep </w:t>
      </w:r>
      <w:r w:rsidR="00F71B8C" w:rsidRPr="00060C19">
        <w:rPr>
          <w:sz w:val="20"/>
          <w:szCs w:val="20"/>
        </w:rPr>
        <w:t xml:space="preserve">Virginia’s </w:t>
      </w:r>
      <w:r w:rsidR="006D3AB5" w:rsidRPr="00060C19">
        <w:rPr>
          <w:sz w:val="20"/>
          <w:szCs w:val="20"/>
        </w:rPr>
        <w:t xml:space="preserve">state </w:t>
      </w:r>
      <w:r w:rsidR="002547D6" w:rsidRPr="00060C19">
        <w:rPr>
          <w:sz w:val="20"/>
          <w:szCs w:val="20"/>
        </w:rPr>
        <w:t>standards</w:t>
      </w:r>
      <w:r w:rsidR="00F64022" w:rsidRPr="00060C19">
        <w:rPr>
          <w:sz w:val="20"/>
          <w:szCs w:val="20"/>
        </w:rPr>
        <w:t xml:space="preserve"> </w:t>
      </w:r>
      <w:r w:rsidR="00FD438E" w:rsidRPr="00060C19">
        <w:rPr>
          <w:sz w:val="20"/>
          <w:szCs w:val="20"/>
        </w:rPr>
        <w:t>in place.</w:t>
      </w:r>
      <w:r w:rsidR="002037E3" w:rsidRPr="00060C19">
        <w:rPr>
          <w:sz w:val="20"/>
          <w:szCs w:val="20"/>
        </w:rPr>
        <w:t xml:space="preserve"> </w:t>
      </w:r>
      <w:r w:rsidR="000E6ABC" w:rsidRPr="00060C19">
        <w:rPr>
          <w:sz w:val="20"/>
          <w:szCs w:val="20"/>
        </w:rPr>
        <w:t xml:space="preserve">Alaska, Nebraska, and Texas have also not adopted the Common Core. </w:t>
      </w:r>
      <w:r w:rsidR="001072B2" w:rsidRPr="00060C19">
        <w:rPr>
          <w:sz w:val="20"/>
          <w:szCs w:val="20"/>
        </w:rPr>
        <w:t xml:space="preserve">Increasingly, </w:t>
      </w:r>
      <w:r w:rsidR="008A5866" w:rsidRPr="00060C19">
        <w:rPr>
          <w:sz w:val="20"/>
          <w:szCs w:val="20"/>
        </w:rPr>
        <w:t xml:space="preserve">determining the </w:t>
      </w:r>
      <w:r w:rsidR="001072B2" w:rsidRPr="00060C19">
        <w:rPr>
          <w:sz w:val="20"/>
          <w:szCs w:val="20"/>
        </w:rPr>
        <w:t xml:space="preserve">quality of education includes </w:t>
      </w:r>
      <w:r w:rsidR="008A5866" w:rsidRPr="00060C19">
        <w:rPr>
          <w:sz w:val="20"/>
          <w:szCs w:val="20"/>
        </w:rPr>
        <w:t xml:space="preserve">making </w:t>
      </w:r>
      <w:r w:rsidR="001072B2" w:rsidRPr="00060C19">
        <w:rPr>
          <w:sz w:val="20"/>
          <w:szCs w:val="20"/>
        </w:rPr>
        <w:t>international comparisons. Standardized test</w:t>
      </w:r>
      <w:r w:rsidR="002547D6" w:rsidRPr="00060C19">
        <w:rPr>
          <w:sz w:val="20"/>
          <w:szCs w:val="20"/>
        </w:rPr>
        <w:t>s</w:t>
      </w:r>
      <w:r w:rsidR="001072B2" w:rsidRPr="00060C19">
        <w:rPr>
          <w:sz w:val="20"/>
          <w:szCs w:val="20"/>
        </w:rPr>
        <w:t xml:space="preserve"> like </w:t>
      </w:r>
      <w:r w:rsidR="001B1663" w:rsidRPr="00060C19">
        <w:rPr>
          <w:sz w:val="20"/>
          <w:szCs w:val="20"/>
        </w:rPr>
        <w:t>the Program for International Student Assessment (</w:t>
      </w:r>
      <w:r w:rsidR="001072B2" w:rsidRPr="00060C19">
        <w:rPr>
          <w:sz w:val="20"/>
          <w:szCs w:val="20"/>
        </w:rPr>
        <w:t>PISA</w:t>
      </w:r>
      <w:r w:rsidR="001B1663" w:rsidRPr="00060C19">
        <w:rPr>
          <w:sz w:val="20"/>
          <w:szCs w:val="20"/>
        </w:rPr>
        <w:t>)</w:t>
      </w:r>
      <w:r w:rsidR="001072B2" w:rsidRPr="00060C19">
        <w:rPr>
          <w:sz w:val="20"/>
          <w:szCs w:val="20"/>
        </w:rPr>
        <w:t xml:space="preserve"> from the </w:t>
      </w:r>
      <w:r w:rsidR="00FD438E" w:rsidRPr="00060C19">
        <w:rPr>
          <w:sz w:val="20"/>
          <w:szCs w:val="20"/>
        </w:rPr>
        <w:t>Organization</w:t>
      </w:r>
      <w:r w:rsidR="001072B2" w:rsidRPr="00060C19">
        <w:rPr>
          <w:sz w:val="20"/>
          <w:szCs w:val="20"/>
        </w:rPr>
        <w:t xml:space="preserve"> for Economic Co-operation </w:t>
      </w:r>
      <w:r w:rsidR="00FD438E" w:rsidRPr="00060C19">
        <w:rPr>
          <w:sz w:val="20"/>
          <w:szCs w:val="20"/>
        </w:rPr>
        <w:t xml:space="preserve">and Development are being used to </w:t>
      </w:r>
      <w:r w:rsidR="001072B2" w:rsidRPr="00060C19">
        <w:rPr>
          <w:sz w:val="20"/>
          <w:szCs w:val="20"/>
        </w:rPr>
        <w:t xml:space="preserve">provide a </w:t>
      </w:r>
      <w:r w:rsidR="00FD438E" w:rsidRPr="00060C19">
        <w:rPr>
          <w:sz w:val="20"/>
          <w:szCs w:val="20"/>
        </w:rPr>
        <w:t xml:space="preserve">means for making </w:t>
      </w:r>
      <w:r w:rsidR="000B257B" w:rsidRPr="00060C19">
        <w:rPr>
          <w:sz w:val="20"/>
          <w:szCs w:val="20"/>
        </w:rPr>
        <w:t xml:space="preserve">global </w:t>
      </w:r>
      <w:r w:rsidR="001072B2" w:rsidRPr="00060C19">
        <w:rPr>
          <w:sz w:val="20"/>
          <w:szCs w:val="20"/>
        </w:rPr>
        <w:t>comparison</w:t>
      </w:r>
      <w:r w:rsidR="00FD438E" w:rsidRPr="00060C19">
        <w:rPr>
          <w:sz w:val="20"/>
          <w:szCs w:val="20"/>
        </w:rPr>
        <w:t>s between education systems</w:t>
      </w:r>
      <w:r w:rsidR="001072B2" w:rsidRPr="00060C19">
        <w:rPr>
          <w:sz w:val="20"/>
          <w:szCs w:val="20"/>
        </w:rPr>
        <w:t xml:space="preserve">. </w:t>
      </w:r>
      <w:r w:rsidR="000B257B" w:rsidRPr="00060C19">
        <w:rPr>
          <w:sz w:val="20"/>
          <w:szCs w:val="20"/>
        </w:rPr>
        <w:t>Comparative international assessments</w:t>
      </w:r>
      <w:r w:rsidR="00AF0980" w:rsidRPr="00060C19">
        <w:rPr>
          <w:sz w:val="20"/>
          <w:szCs w:val="20"/>
        </w:rPr>
        <w:t xml:space="preserve"> can </w:t>
      </w:r>
      <w:r w:rsidR="002547D6" w:rsidRPr="00060C19">
        <w:rPr>
          <w:sz w:val="20"/>
          <w:szCs w:val="20"/>
        </w:rPr>
        <w:t xml:space="preserve">provide government’s </w:t>
      </w:r>
      <w:r w:rsidR="009761D1" w:rsidRPr="00060C19">
        <w:rPr>
          <w:sz w:val="20"/>
          <w:szCs w:val="20"/>
        </w:rPr>
        <w:t xml:space="preserve">with </w:t>
      </w:r>
      <w:r w:rsidR="000352C7" w:rsidRPr="00060C19">
        <w:rPr>
          <w:sz w:val="20"/>
          <w:szCs w:val="20"/>
        </w:rPr>
        <w:t xml:space="preserve">information necessary </w:t>
      </w:r>
      <w:r w:rsidR="002547D6" w:rsidRPr="00060C19">
        <w:rPr>
          <w:sz w:val="20"/>
          <w:szCs w:val="20"/>
        </w:rPr>
        <w:t xml:space="preserve">to </w:t>
      </w:r>
      <w:r w:rsidR="008A5866" w:rsidRPr="00060C19">
        <w:rPr>
          <w:sz w:val="20"/>
          <w:szCs w:val="20"/>
        </w:rPr>
        <w:t>make</w:t>
      </w:r>
      <w:r w:rsidR="002547D6" w:rsidRPr="00060C19">
        <w:rPr>
          <w:sz w:val="20"/>
          <w:szCs w:val="20"/>
        </w:rPr>
        <w:t xml:space="preserve"> education policy </w:t>
      </w:r>
      <w:r w:rsidR="008A5866" w:rsidRPr="00060C19">
        <w:rPr>
          <w:sz w:val="20"/>
          <w:szCs w:val="20"/>
        </w:rPr>
        <w:t>that can result in preparing students for life and work in</w:t>
      </w:r>
      <w:r w:rsidR="002547D6" w:rsidRPr="00060C19">
        <w:rPr>
          <w:sz w:val="20"/>
          <w:szCs w:val="20"/>
        </w:rPr>
        <w:t xml:space="preserve"> a</w:t>
      </w:r>
      <w:r w:rsidR="000B257B" w:rsidRPr="00060C19">
        <w:rPr>
          <w:sz w:val="20"/>
          <w:szCs w:val="20"/>
        </w:rPr>
        <w:t>n increasingly</w:t>
      </w:r>
      <w:r w:rsidR="002547D6" w:rsidRPr="00060C19">
        <w:rPr>
          <w:sz w:val="20"/>
          <w:szCs w:val="20"/>
        </w:rPr>
        <w:t xml:space="preserve"> global economy. </w:t>
      </w:r>
    </w:p>
    <w:p w:rsidR="007C5ACF" w:rsidRPr="00060C19" w:rsidRDefault="007C5ACF" w:rsidP="007C5ACF">
      <w:pPr>
        <w:pStyle w:val="NoSpacing"/>
        <w:rPr>
          <w:sz w:val="20"/>
          <w:szCs w:val="20"/>
        </w:rPr>
      </w:pPr>
    </w:p>
    <w:p w:rsidR="00A83C1E" w:rsidRPr="00060C19" w:rsidRDefault="000E0C99" w:rsidP="007C5ACF">
      <w:pPr>
        <w:pStyle w:val="NoSpacing"/>
        <w:rPr>
          <w:sz w:val="20"/>
          <w:szCs w:val="20"/>
        </w:rPr>
      </w:pPr>
      <w:r w:rsidRPr="00060C19">
        <w:rPr>
          <w:sz w:val="20"/>
          <w:szCs w:val="20"/>
        </w:rPr>
        <w:t>O</w:t>
      </w:r>
      <w:r w:rsidR="00351F8E" w:rsidRPr="00060C19">
        <w:rPr>
          <w:sz w:val="20"/>
          <w:szCs w:val="20"/>
        </w:rPr>
        <w:t>f course</w:t>
      </w:r>
      <w:r w:rsidR="007077C5" w:rsidRPr="00060C19">
        <w:rPr>
          <w:sz w:val="20"/>
          <w:szCs w:val="20"/>
        </w:rPr>
        <w:t>,</w:t>
      </w:r>
      <w:r w:rsidR="00351F8E" w:rsidRPr="00060C19">
        <w:rPr>
          <w:sz w:val="20"/>
          <w:szCs w:val="20"/>
        </w:rPr>
        <w:t xml:space="preserve"> </w:t>
      </w:r>
      <w:r w:rsidR="009761D1" w:rsidRPr="00060C19">
        <w:rPr>
          <w:sz w:val="20"/>
          <w:szCs w:val="20"/>
        </w:rPr>
        <w:t xml:space="preserve">there are </w:t>
      </w:r>
      <w:r w:rsidR="0091532B" w:rsidRPr="00060C19">
        <w:rPr>
          <w:sz w:val="20"/>
          <w:szCs w:val="20"/>
        </w:rPr>
        <w:t xml:space="preserve">areas for growth </w:t>
      </w:r>
      <w:r w:rsidR="00351F8E" w:rsidRPr="00060C19">
        <w:rPr>
          <w:sz w:val="20"/>
          <w:szCs w:val="20"/>
        </w:rPr>
        <w:t>and challenges to be addressed</w:t>
      </w:r>
      <w:r w:rsidR="0091532B" w:rsidRPr="00060C19">
        <w:rPr>
          <w:sz w:val="20"/>
          <w:szCs w:val="20"/>
        </w:rPr>
        <w:t xml:space="preserve"> for Virginia</w:t>
      </w:r>
      <w:r w:rsidR="000352C7" w:rsidRPr="00060C19">
        <w:rPr>
          <w:sz w:val="20"/>
          <w:szCs w:val="20"/>
        </w:rPr>
        <w:t>’s schools</w:t>
      </w:r>
      <w:r w:rsidR="0091532B" w:rsidRPr="00060C19">
        <w:rPr>
          <w:sz w:val="20"/>
          <w:szCs w:val="20"/>
        </w:rPr>
        <w:t xml:space="preserve"> to remain a</w:t>
      </w:r>
      <w:r w:rsidR="000352C7" w:rsidRPr="00060C19">
        <w:rPr>
          <w:sz w:val="20"/>
          <w:szCs w:val="20"/>
        </w:rPr>
        <w:t>mong</w:t>
      </w:r>
      <w:r w:rsidR="0091532B" w:rsidRPr="00060C19">
        <w:rPr>
          <w:sz w:val="20"/>
          <w:szCs w:val="20"/>
        </w:rPr>
        <w:t xml:space="preserve"> top performing PreK-12 school </w:t>
      </w:r>
      <w:r w:rsidR="000352C7" w:rsidRPr="00060C19">
        <w:rPr>
          <w:sz w:val="20"/>
          <w:szCs w:val="20"/>
        </w:rPr>
        <w:t>programs</w:t>
      </w:r>
      <w:r w:rsidR="00351F8E" w:rsidRPr="00060C19">
        <w:rPr>
          <w:sz w:val="20"/>
          <w:szCs w:val="20"/>
        </w:rPr>
        <w:t xml:space="preserve">. </w:t>
      </w:r>
      <w:r w:rsidR="00A83C1E" w:rsidRPr="00060C19">
        <w:rPr>
          <w:sz w:val="20"/>
          <w:szCs w:val="20"/>
        </w:rPr>
        <w:t xml:space="preserve">New legislation coming from the 2013 Virginia General Assembly includes creating school report cards to provide a clear rating system (A-F) for parents and educators. </w:t>
      </w:r>
      <w:r w:rsidR="000352C7" w:rsidRPr="00060C19">
        <w:rPr>
          <w:sz w:val="20"/>
          <w:szCs w:val="20"/>
        </w:rPr>
        <w:t>(</w:t>
      </w:r>
      <w:r w:rsidR="001606C1" w:rsidRPr="00060C19">
        <w:rPr>
          <w:sz w:val="20"/>
          <w:szCs w:val="20"/>
        </w:rPr>
        <w:t>The 2012 Virginia</w:t>
      </w:r>
      <w:r w:rsidR="000352C7" w:rsidRPr="00060C19">
        <w:rPr>
          <w:sz w:val="20"/>
          <w:szCs w:val="20"/>
        </w:rPr>
        <w:t xml:space="preserve"> </w:t>
      </w:r>
      <w:r w:rsidR="001606C1" w:rsidRPr="00060C19">
        <w:rPr>
          <w:sz w:val="20"/>
          <w:szCs w:val="20"/>
        </w:rPr>
        <w:t>statewide</w:t>
      </w:r>
      <w:r w:rsidR="000352C7" w:rsidRPr="00060C19">
        <w:rPr>
          <w:sz w:val="20"/>
          <w:szCs w:val="20"/>
        </w:rPr>
        <w:t xml:space="preserve"> re</w:t>
      </w:r>
      <w:r w:rsidR="001606C1" w:rsidRPr="00060C19">
        <w:rPr>
          <w:sz w:val="20"/>
          <w:szCs w:val="20"/>
        </w:rPr>
        <w:t>port card is presented on page 5</w:t>
      </w:r>
      <w:r w:rsidR="000352C7" w:rsidRPr="00060C19">
        <w:rPr>
          <w:sz w:val="20"/>
          <w:szCs w:val="20"/>
        </w:rPr>
        <w:t xml:space="preserve">.) </w:t>
      </w:r>
      <w:r w:rsidR="001606C1" w:rsidRPr="00060C19">
        <w:rPr>
          <w:sz w:val="20"/>
          <w:szCs w:val="20"/>
        </w:rPr>
        <w:t xml:space="preserve">Chronically </w:t>
      </w:r>
      <w:r w:rsidR="00031B16" w:rsidRPr="00060C19">
        <w:rPr>
          <w:sz w:val="20"/>
          <w:szCs w:val="20"/>
        </w:rPr>
        <w:t xml:space="preserve">underperforming schools would become part of a </w:t>
      </w:r>
      <w:r w:rsidR="00A83C1E" w:rsidRPr="00060C19">
        <w:rPr>
          <w:sz w:val="20"/>
          <w:szCs w:val="20"/>
        </w:rPr>
        <w:t xml:space="preserve">new statewide division </w:t>
      </w:r>
      <w:r w:rsidR="00672FA5" w:rsidRPr="00060C19">
        <w:rPr>
          <w:sz w:val="20"/>
          <w:szCs w:val="20"/>
        </w:rPr>
        <w:t xml:space="preserve">(The Opportunity Educational Institution) </w:t>
      </w:r>
      <w:r w:rsidR="00A83C1E" w:rsidRPr="00060C19">
        <w:rPr>
          <w:sz w:val="20"/>
          <w:szCs w:val="20"/>
        </w:rPr>
        <w:t>focused on turning around failing schools.</w:t>
      </w:r>
      <w:r w:rsidR="009E5742" w:rsidRPr="00060C19">
        <w:rPr>
          <w:sz w:val="20"/>
          <w:szCs w:val="20"/>
        </w:rPr>
        <w:t xml:space="preserve"> </w:t>
      </w:r>
      <w:r w:rsidR="00031B16" w:rsidRPr="00060C19">
        <w:rPr>
          <w:sz w:val="20"/>
          <w:szCs w:val="20"/>
        </w:rPr>
        <w:t xml:space="preserve"> </w:t>
      </w:r>
      <w:r w:rsidR="00A83C1E" w:rsidRPr="00060C19">
        <w:rPr>
          <w:sz w:val="20"/>
          <w:szCs w:val="20"/>
        </w:rPr>
        <w:t xml:space="preserve"> </w:t>
      </w:r>
    </w:p>
    <w:p w:rsidR="007C5ACF" w:rsidRPr="00060C19" w:rsidRDefault="007C5ACF" w:rsidP="007C5ACF">
      <w:pPr>
        <w:pStyle w:val="NoSpacing"/>
        <w:rPr>
          <w:sz w:val="20"/>
          <w:szCs w:val="20"/>
        </w:rPr>
      </w:pPr>
    </w:p>
    <w:p w:rsidR="00216A4D" w:rsidRPr="00060C19" w:rsidRDefault="009648AC" w:rsidP="007C5ACF">
      <w:pPr>
        <w:pStyle w:val="NoSpacing"/>
        <w:rPr>
          <w:sz w:val="20"/>
          <w:szCs w:val="20"/>
        </w:rPr>
      </w:pPr>
      <w:r w:rsidRPr="00060C19">
        <w:rPr>
          <w:sz w:val="20"/>
          <w:szCs w:val="20"/>
        </w:rPr>
        <w:t>Virginia’s Board of Education</w:t>
      </w:r>
      <w:r w:rsidR="00672FA5" w:rsidRPr="00060C19">
        <w:rPr>
          <w:sz w:val="20"/>
          <w:szCs w:val="20"/>
        </w:rPr>
        <w:t xml:space="preserve"> </w:t>
      </w:r>
      <w:r w:rsidRPr="00060C19">
        <w:rPr>
          <w:sz w:val="20"/>
          <w:szCs w:val="20"/>
        </w:rPr>
        <w:t>recognizes that there remain persistent and disturbing achievement gaps among groups of students, specifically those from the African Am</w:t>
      </w:r>
      <w:r w:rsidR="00B71E62" w:rsidRPr="00060C19">
        <w:rPr>
          <w:sz w:val="20"/>
          <w:szCs w:val="20"/>
        </w:rPr>
        <w:t xml:space="preserve">erican and Hispanic communities. </w:t>
      </w:r>
      <w:r w:rsidR="00216A4D" w:rsidRPr="00060C19">
        <w:rPr>
          <w:sz w:val="20"/>
          <w:szCs w:val="20"/>
        </w:rPr>
        <w:t>Although many achievement gaps have been narrowed, Virginia did not meet the 2012-2013 annual federal graduati</w:t>
      </w:r>
      <w:r w:rsidR="002C4551" w:rsidRPr="00060C19">
        <w:rPr>
          <w:sz w:val="20"/>
          <w:szCs w:val="20"/>
        </w:rPr>
        <w:t>on</w:t>
      </w:r>
      <w:r w:rsidR="00672FA5" w:rsidRPr="00060C19">
        <w:rPr>
          <w:sz w:val="20"/>
          <w:szCs w:val="20"/>
        </w:rPr>
        <w:t xml:space="preserve"> indicator </w:t>
      </w:r>
      <w:r w:rsidR="005F7CDA" w:rsidRPr="00060C19">
        <w:rPr>
          <w:sz w:val="20"/>
          <w:szCs w:val="20"/>
        </w:rPr>
        <w:t xml:space="preserve">(FGI) </w:t>
      </w:r>
      <w:r w:rsidR="009D2F5E" w:rsidRPr="00060C19">
        <w:rPr>
          <w:sz w:val="20"/>
          <w:szCs w:val="20"/>
        </w:rPr>
        <w:t>requirements</w:t>
      </w:r>
      <w:r w:rsidR="00F7624B" w:rsidRPr="00060C19">
        <w:rPr>
          <w:sz w:val="20"/>
          <w:szCs w:val="20"/>
        </w:rPr>
        <w:t xml:space="preserve"> for</w:t>
      </w:r>
      <w:r w:rsidR="002C4551" w:rsidRPr="00060C19">
        <w:rPr>
          <w:sz w:val="20"/>
          <w:szCs w:val="20"/>
        </w:rPr>
        <w:t xml:space="preserve"> all subgroups. </w:t>
      </w:r>
      <w:r w:rsidR="005F7CDA" w:rsidRPr="00060C19">
        <w:rPr>
          <w:sz w:val="20"/>
          <w:szCs w:val="20"/>
        </w:rPr>
        <w:t>B</w:t>
      </w:r>
      <w:r w:rsidR="00216A4D" w:rsidRPr="00060C19">
        <w:rPr>
          <w:sz w:val="20"/>
          <w:szCs w:val="20"/>
        </w:rPr>
        <w:t>lack students, students with limited English proficiency, and students with disa</w:t>
      </w:r>
      <w:r w:rsidR="00672FA5" w:rsidRPr="00060C19">
        <w:rPr>
          <w:sz w:val="20"/>
          <w:szCs w:val="20"/>
        </w:rPr>
        <w:t xml:space="preserve">bilities </w:t>
      </w:r>
      <w:r w:rsidR="005F7CDA" w:rsidRPr="00060C19">
        <w:rPr>
          <w:sz w:val="20"/>
          <w:szCs w:val="20"/>
        </w:rPr>
        <w:t xml:space="preserve">did not meet the FGI objective </w:t>
      </w:r>
      <w:r w:rsidR="00672FA5" w:rsidRPr="00060C19">
        <w:rPr>
          <w:sz w:val="20"/>
          <w:szCs w:val="20"/>
        </w:rPr>
        <w:t>(VDOE, 2012</w:t>
      </w:r>
      <w:r w:rsidR="00216A4D" w:rsidRPr="00060C19">
        <w:rPr>
          <w:sz w:val="20"/>
          <w:szCs w:val="20"/>
        </w:rPr>
        <w:t>). According to the Southern Regional Education Board (SREB, 2012)</w:t>
      </w:r>
      <w:r w:rsidR="00F7624B" w:rsidRPr="00060C19">
        <w:rPr>
          <w:sz w:val="20"/>
          <w:szCs w:val="20"/>
        </w:rPr>
        <w:t>,</w:t>
      </w:r>
      <w:r w:rsidR="00216A4D" w:rsidRPr="00060C19">
        <w:rPr>
          <w:sz w:val="20"/>
          <w:szCs w:val="20"/>
        </w:rPr>
        <w:t xml:space="preserve"> </w:t>
      </w:r>
      <w:r w:rsidR="00E05A84" w:rsidRPr="00060C19">
        <w:rPr>
          <w:sz w:val="20"/>
          <w:szCs w:val="20"/>
        </w:rPr>
        <w:t xml:space="preserve">from </w:t>
      </w:r>
      <w:r w:rsidR="005F7CDA" w:rsidRPr="00060C19">
        <w:rPr>
          <w:sz w:val="20"/>
          <w:szCs w:val="20"/>
        </w:rPr>
        <w:t xml:space="preserve">2009 </w:t>
      </w:r>
      <w:r w:rsidR="00E05A84" w:rsidRPr="00060C19">
        <w:rPr>
          <w:sz w:val="20"/>
          <w:szCs w:val="20"/>
        </w:rPr>
        <w:t xml:space="preserve">to 2011 </w:t>
      </w:r>
      <w:r w:rsidR="00216A4D" w:rsidRPr="00060C19">
        <w:rPr>
          <w:sz w:val="20"/>
          <w:szCs w:val="20"/>
        </w:rPr>
        <w:t xml:space="preserve">gaps in reading achievement </w:t>
      </w:r>
      <w:r w:rsidR="005F7CDA" w:rsidRPr="00060C19">
        <w:rPr>
          <w:sz w:val="20"/>
          <w:szCs w:val="20"/>
        </w:rPr>
        <w:t xml:space="preserve">of fourth grade </w:t>
      </w:r>
      <w:r w:rsidR="00E05A84" w:rsidRPr="00060C19">
        <w:rPr>
          <w:sz w:val="20"/>
          <w:szCs w:val="20"/>
        </w:rPr>
        <w:t xml:space="preserve">white and Hispanic </w:t>
      </w:r>
      <w:r w:rsidR="005F7CDA" w:rsidRPr="00060C19">
        <w:rPr>
          <w:sz w:val="20"/>
          <w:szCs w:val="20"/>
        </w:rPr>
        <w:t xml:space="preserve">students </w:t>
      </w:r>
      <w:r w:rsidR="00E05A84" w:rsidRPr="00060C19">
        <w:rPr>
          <w:sz w:val="20"/>
          <w:szCs w:val="20"/>
        </w:rPr>
        <w:t>in Virginia widened</w:t>
      </w:r>
      <w:r w:rsidR="00216A4D" w:rsidRPr="00060C19">
        <w:rPr>
          <w:sz w:val="20"/>
          <w:szCs w:val="20"/>
        </w:rPr>
        <w:t xml:space="preserve">. </w:t>
      </w:r>
      <w:r w:rsidR="00E05A84" w:rsidRPr="00060C19">
        <w:rPr>
          <w:sz w:val="20"/>
          <w:szCs w:val="20"/>
        </w:rPr>
        <w:t>Data from the 2010 U.S. census finds</w:t>
      </w:r>
      <w:r w:rsidR="006849A5" w:rsidRPr="00060C19">
        <w:rPr>
          <w:sz w:val="20"/>
          <w:szCs w:val="20"/>
        </w:rPr>
        <w:t xml:space="preserve"> Hispanics </w:t>
      </w:r>
      <w:r w:rsidR="00C67C5B" w:rsidRPr="00060C19">
        <w:rPr>
          <w:sz w:val="20"/>
          <w:szCs w:val="20"/>
        </w:rPr>
        <w:t xml:space="preserve">comprise 7.9% of </w:t>
      </w:r>
      <w:r w:rsidR="00F7624B" w:rsidRPr="00060C19">
        <w:rPr>
          <w:sz w:val="20"/>
          <w:szCs w:val="20"/>
        </w:rPr>
        <w:t>Virginia’s</w:t>
      </w:r>
      <w:r w:rsidR="00C67C5B" w:rsidRPr="00060C19">
        <w:rPr>
          <w:sz w:val="20"/>
          <w:szCs w:val="20"/>
        </w:rPr>
        <w:t xml:space="preserve"> population</w:t>
      </w:r>
      <w:r w:rsidR="00F7624B" w:rsidRPr="00060C19">
        <w:rPr>
          <w:sz w:val="20"/>
          <w:szCs w:val="20"/>
        </w:rPr>
        <w:t>;</w:t>
      </w:r>
      <w:r w:rsidR="00C67C5B" w:rsidRPr="00060C19">
        <w:rPr>
          <w:sz w:val="20"/>
          <w:szCs w:val="20"/>
        </w:rPr>
        <w:t xml:space="preserve"> a 91.7% change from 2000.</w:t>
      </w:r>
    </w:p>
    <w:p w:rsidR="00EF25D7" w:rsidRPr="00060C19" w:rsidRDefault="00EF25D7" w:rsidP="007C5ACF">
      <w:pPr>
        <w:pStyle w:val="NoSpacing"/>
        <w:rPr>
          <w:sz w:val="20"/>
          <w:szCs w:val="20"/>
        </w:rPr>
      </w:pPr>
    </w:p>
    <w:p w:rsidR="00AC5B41" w:rsidRPr="00060C19" w:rsidRDefault="00F7624B" w:rsidP="007C5ACF">
      <w:pPr>
        <w:pStyle w:val="NoSpacing"/>
        <w:rPr>
          <w:sz w:val="20"/>
          <w:szCs w:val="20"/>
        </w:rPr>
      </w:pPr>
      <w:r w:rsidRPr="00060C19">
        <w:rPr>
          <w:sz w:val="20"/>
          <w:szCs w:val="20"/>
        </w:rPr>
        <w:t>Achievement d</w:t>
      </w:r>
      <w:r w:rsidR="00AC5B41" w:rsidRPr="00060C19">
        <w:rPr>
          <w:sz w:val="20"/>
          <w:szCs w:val="20"/>
        </w:rPr>
        <w:t xml:space="preserve">isparities </w:t>
      </w:r>
      <w:r w:rsidRPr="00060C19">
        <w:rPr>
          <w:sz w:val="20"/>
          <w:szCs w:val="20"/>
        </w:rPr>
        <w:t xml:space="preserve">also </w:t>
      </w:r>
      <w:r w:rsidR="00AC5B41" w:rsidRPr="00060C19">
        <w:rPr>
          <w:sz w:val="20"/>
          <w:szCs w:val="20"/>
        </w:rPr>
        <w:t>exist between students from low-income families and</w:t>
      </w:r>
      <w:r w:rsidRPr="00060C19">
        <w:rPr>
          <w:sz w:val="20"/>
          <w:szCs w:val="20"/>
        </w:rPr>
        <w:t xml:space="preserve"> those from</w:t>
      </w:r>
      <w:r w:rsidR="00AC5B41" w:rsidRPr="00060C19">
        <w:rPr>
          <w:sz w:val="20"/>
          <w:szCs w:val="20"/>
        </w:rPr>
        <w:t xml:space="preserve"> more affluent families. Successful strategies must be employed in schools to close </w:t>
      </w:r>
      <w:r w:rsidRPr="00060C19">
        <w:rPr>
          <w:sz w:val="20"/>
          <w:szCs w:val="20"/>
        </w:rPr>
        <w:t>those</w:t>
      </w:r>
      <w:r w:rsidR="00AC5B41" w:rsidRPr="00060C19">
        <w:rPr>
          <w:sz w:val="20"/>
          <w:szCs w:val="20"/>
        </w:rPr>
        <w:t xml:space="preserve"> ga</w:t>
      </w:r>
      <w:r w:rsidR="00443BA9" w:rsidRPr="00060C19">
        <w:rPr>
          <w:sz w:val="20"/>
          <w:szCs w:val="20"/>
        </w:rPr>
        <w:t xml:space="preserve">ps among groups of students </w:t>
      </w:r>
      <w:r w:rsidRPr="00060C19">
        <w:rPr>
          <w:sz w:val="20"/>
          <w:szCs w:val="20"/>
        </w:rPr>
        <w:t xml:space="preserve">and </w:t>
      </w:r>
      <w:r w:rsidR="00443BA9" w:rsidRPr="00060C19">
        <w:rPr>
          <w:sz w:val="20"/>
          <w:szCs w:val="20"/>
        </w:rPr>
        <w:t>to e</w:t>
      </w:r>
      <w:r w:rsidR="00AC5B41" w:rsidRPr="00060C19">
        <w:rPr>
          <w:sz w:val="20"/>
          <w:szCs w:val="20"/>
        </w:rPr>
        <w:t xml:space="preserve">nsure that students at greatest risk of failure remain in school, graduate, and enroll in college or participate in some other </w:t>
      </w:r>
      <w:r w:rsidR="00546D15" w:rsidRPr="00060C19">
        <w:rPr>
          <w:sz w:val="20"/>
          <w:szCs w:val="20"/>
        </w:rPr>
        <w:t>post-secondary</w:t>
      </w:r>
      <w:r w:rsidR="00AC5B41" w:rsidRPr="00060C19">
        <w:rPr>
          <w:sz w:val="20"/>
          <w:szCs w:val="20"/>
        </w:rPr>
        <w:t xml:space="preserve"> experience.</w:t>
      </w:r>
      <w:r w:rsidR="007077C5" w:rsidRPr="00060C19">
        <w:rPr>
          <w:sz w:val="20"/>
          <w:szCs w:val="20"/>
        </w:rPr>
        <w:t xml:space="preserve"> </w:t>
      </w:r>
    </w:p>
    <w:p w:rsidR="000352C7" w:rsidRPr="00060C19" w:rsidRDefault="00007CB9" w:rsidP="007C5ACF">
      <w:pPr>
        <w:pStyle w:val="NoSpacing"/>
        <w:rPr>
          <w:sz w:val="20"/>
          <w:szCs w:val="20"/>
        </w:rPr>
      </w:pPr>
      <w:r w:rsidRPr="00060C19">
        <w:rPr>
          <w:sz w:val="20"/>
          <w:szCs w:val="20"/>
        </w:rPr>
        <w:t>An</w:t>
      </w:r>
      <w:r w:rsidR="00041FD1" w:rsidRPr="00060C19">
        <w:rPr>
          <w:sz w:val="20"/>
          <w:szCs w:val="20"/>
        </w:rPr>
        <w:t>other issue</w:t>
      </w:r>
      <w:r w:rsidRPr="00060C19">
        <w:rPr>
          <w:sz w:val="20"/>
          <w:szCs w:val="20"/>
        </w:rPr>
        <w:t xml:space="preserve"> gaining national </w:t>
      </w:r>
      <w:r w:rsidR="00041FD1" w:rsidRPr="00060C19">
        <w:rPr>
          <w:sz w:val="20"/>
          <w:szCs w:val="20"/>
        </w:rPr>
        <w:t xml:space="preserve">and local attention </w:t>
      </w:r>
      <w:r w:rsidR="00F26C3E" w:rsidRPr="00060C19">
        <w:rPr>
          <w:sz w:val="20"/>
          <w:szCs w:val="20"/>
        </w:rPr>
        <w:t>is school safety. In 2000, the</w:t>
      </w:r>
      <w:r w:rsidR="00216A4D" w:rsidRPr="00060C19">
        <w:rPr>
          <w:sz w:val="20"/>
          <w:szCs w:val="20"/>
        </w:rPr>
        <w:t xml:space="preserve"> </w:t>
      </w:r>
      <w:r w:rsidR="00216A4D" w:rsidRPr="00060C19">
        <w:rPr>
          <w:i/>
          <w:sz w:val="20"/>
          <w:szCs w:val="20"/>
        </w:rPr>
        <w:t>Code of Virginia</w:t>
      </w:r>
      <w:r w:rsidR="00216A4D" w:rsidRPr="00060C19">
        <w:rPr>
          <w:sz w:val="20"/>
          <w:szCs w:val="20"/>
        </w:rPr>
        <w:t xml:space="preserve"> established the Virginia Center for School Safety (VCSS)</w:t>
      </w:r>
      <w:r w:rsidR="00F61606" w:rsidRPr="00060C19">
        <w:rPr>
          <w:sz w:val="20"/>
          <w:szCs w:val="20"/>
        </w:rPr>
        <w:t xml:space="preserve"> which collects and </w:t>
      </w:r>
      <w:r w:rsidR="00AC5B41" w:rsidRPr="00060C19">
        <w:rPr>
          <w:sz w:val="20"/>
          <w:szCs w:val="20"/>
        </w:rPr>
        <w:t xml:space="preserve">analyzes </w:t>
      </w:r>
      <w:r w:rsidR="00F61606" w:rsidRPr="00060C19">
        <w:rPr>
          <w:sz w:val="20"/>
          <w:szCs w:val="20"/>
        </w:rPr>
        <w:t>school sa</w:t>
      </w:r>
      <w:r w:rsidR="00AF0980" w:rsidRPr="00060C19">
        <w:rPr>
          <w:sz w:val="20"/>
          <w:szCs w:val="20"/>
        </w:rPr>
        <w:t xml:space="preserve">fety data and provides technical assistance to Virginia schools. </w:t>
      </w:r>
      <w:r w:rsidR="00F26C3E" w:rsidRPr="00060C19">
        <w:rPr>
          <w:sz w:val="20"/>
          <w:szCs w:val="20"/>
        </w:rPr>
        <w:t>More recently</w:t>
      </w:r>
      <w:r w:rsidR="004653D9" w:rsidRPr="00060C19">
        <w:rPr>
          <w:sz w:val="20"/>
          <w:szCs w:val="20"/>
        </w:rPr>
        <w:t xml:space="preserve">, in 2012 </w:t>
      </w:r>
      <w:r w:rsidR="00F61606" w:rsidRPr="00060C19">
        <w:rPr>
          <w:sz w:val="20"/>
          <w:szCs w:val="20"/>
        </w:rPr>
        <w:t>Governor</w:t>
      </w:r>
      <w:r w:rsidR="004653D9" w:rsidRPr="00060C19">
        <w:rPr>
          <w:sz w:val="20"/>
          <w:szCs w:val="20"/>
        </w:rPr>
        <w:t xml:space="preserve"> McDonnell</w:t>
      </w:r>
      <w:r w:rsidR="00F61606" w:rsidRPr="00060C19">
        <w:rPr>
          <w:sz w:val="20"/>
          <w:szCs w:val="20"/>
        </w:rPr>
        <w:t xml:space="preserve"> established the </w:t>
      </w:r>
      <w:r w:rsidR="007A456F" w:rsidRPr="00060C19">
        <w:rPr>
          <w:sz w:val="20"/>
          <w:szCs w:val="20"/>
        </w:rPr>
        <w:t>Task Force on Safety</w:t>
      </w:r>
      <w:r w:rsidR="00F61606" w:rsidRPr="00060C19">
        <w:rPr>
          <w:sz w:val="20"/>
          <w:szCs w:val="20"/>
        </w:rPr>
        <w:t xml:space="preserve">. The </w:t>
      </w:r>
      <w:r w:rsidR="00F7624B" w:rsidRPr="00060C19">
        <w:rPr>
          <w:sz w:val="20"/>
          <w:szCs w:val="20"/>
        </w:rPr>
        <w:t>t</w:t>
      </w:r>
      <w:r w:rsidR="00F61606" w:rsidRPr="00060C19">
        <w:rPr>
          <w:sz w:val="20"/>
          <w:szCs w:val="20"/>
        </w:rPr>
        <w:t xml:space="preserve">ask </w:t>
      </w:r>
      <w:r w:rsidR="00F7624B" w:rsidRPr="00060C19">
        <w:rPr>
          <w:sz w:val="20"/>
          <w:szCs w:val="20"/>
        </w:rPr>
        <w:t>f</w:t>
      </w:r>
      <w:r w:rsidR="00F61606" w:rsidRPr="00060C19">
        <w:rPr>
          <w:sz w:val="20"/>
          <w:szCs w:val="20"/>
        </w:rPr>
        <w:t xml:space="preserve">orce </w:t>
      </w:r>
      <w:r w:rsidR="007A456F" w:rsidRPr="00060C19">
        <w:rPr>
          <w:sz w:val="20"/>
          <w:szCs w:val="20"/>
        </w:rPr>
        <w:t xml:space="preserve">provided </w:t>
      </w:r>
      <w:r w:rsidR="00F7624B" w:rsidRPr="00060C19">
        <w:rPr>
          <w:sz w:val="20"/>
          <w:szCs w:val="20"/>
        </w:rPr>
        <w:t>its</w:t>
      </w:r>
      <w:r w:rsidR="007A456F" w:rsidRPr="00060C19">
        <w:rPr>
          <w:sz w:val="20"/>
          <w:szCs w:val="20"/>
        </w:rPr>
        <w:t xml:space="preserve"> r</w:t>
      </w:r>
      <w:r w:rsidR="00F61606" w:rsidRPr="00060C19">
        <w:rPr>
          <w:sz w:val="20"/>
          <w:szCs w:val="20"/>
        </w:rPr>
        <w:t>ecom</w:t>
      </w:r>
      <w:r w:rsidR="005425DB" w:rsidRPr="00060C19">
        <w:rPr>
          <w:sz w:val="20"/>
          <w:szCs w:val="20"/>
        </w:rPr>
        <w:t xml:space="preserve">mendations in January 2013 and </w:t>
      </w:r>
      <w:r w:rsidR="004342B7" w:rsidRPr="00060C19">
        <w:rPr>
          <w:sz w:val="20"/>
          <w:szCs w:val="20"/>
        </w:rPr>
        <w:t xml:space="preserve">from those recommendations </w:t>
      </w:r>
      <w:r w:rsidR="005425DB" w:rsidRPr="00060C19">
        <w:rPr>
          <w:sz w:val="20"/>
          <w:szCs w:val="20"/>
        </w:rPr>
        <w:t xml:space="preserve">legislation was </w:t>
      </w:r>
      <w:r w:rsidR="00F7624B" w:rsidRPr="00060C19">
        <w:rPr>
          <w:sz w:val="20"/>
          <w:szCs w:val="20"/>
        </w:rPr>
        <w:t xml:space="preserve">submitted and </w:t>
      </w:r>
      <w:r w:rsidR="005425DB" w:rsidRPr="00060C19">
        <w:rPr>
          <w:sz w:val="20"/>
          <w:szCs w:val="20"/>
        </w:rPr>
        <w:t>approved for the creation of threat</w:t>
      </w:r>
      <w:r w:rsidR="000352C7" w:rsidRPr="00060C19">
        <w:rPr>
          <w:sz w:val="20"/>
          <w:szCs w:val="20"/>
        </w:rPr>
        <w:t>-</w:t>
      </w:r>
      <w:r w:rsidR="005425DB" w:rsidRPr="00060C19">
        <w:rPr>
          <w:sz w:val="20"/>
          <w:szCs w:val="20"/>
        </w:rPr>
        <w:t xml:space="preserve">assessment teams in schools, </w:t>
      </w:r>
      <w:r w:rsidR="00F61606" w:rsidRPr="00060C19">
        <w:rPr>
          <w:sz w:val="20"/>
          <w:szCs w:val="20"/>
        </w:rPr>
        <w:t xml:space="preserve">mandatory lockdown drills and </w:t>
      </w:r>
      <w:r w:rsidR="005425DB" w:rsidRPr="00060C19">
        <w:rPr>
          <w:sz w:val="20"/>
          <w:szCs w:val="20"/>
        </w:rPr>
        <w:t>improvements to the</w:t>
      </w:r>
      <w:r w:rsidR="00025002" w:rsidRPr="00060C19">
        <w:rPr>
          <w:sz w:val="20"/>
          <w:szCs w:val="20"/>
        </w:rPr>
        <w:t xml:space="preserve"> school divi</w:t>
      </w:r>
      <w:r w:rsidR="005425DB" w:rsidRPr="00060C19">
        <w:rPr>
          <w:sz w:val="20"/>
          <w:szCs w:val="20"/>
        </w:rPr>
        <w:t>sion safety audit process</w:t>
      </w:r>
      <w:r w:rsidR="00025002" w:rsidRPr="00060C19">
        <w:rPr>
          <w:sz w:val="20"/>
          <w:szCs w:val="20"/>
        </w:rPr>
        <w:t xml:space="preserve">. </w:t>
      </w:r>
    </w:p>
    <w:p w:rsidR="00EF25D7" w:rsidRPr="00060C19" w:rsidRDefault="00EF25D7" w:rsidP="007C5ACF">
      <w:pPr>
        <w:pStyle w:val="NoSpacing"/>
        <w:rPr>
          <w:sz w:val="20"/>
          <w:szCs w:val="20"/>
        </w:rPr>
      </w:pPr>
    </w:p>
    <w:p w:rsidR="00320330" w:rsidRPr="00060C19" w:rsidRDefault="00F7624B" w:rsidP="007C5ACF">
      <w:pPr>
        <w:pStyle w:val="NoSpacing"/>
        <w:rPr>
          <w:rFonts w:cs="Arial"/>
          <w:color w:val="000000"/>
          <w:sz w:val="20"/>
          <w:szCs w:val="20"/>
        </w:rPr>
      </w:pPr>
      <w:r w:rsidRPr="00060C19">
        <w:rPr>
          <w:sz w:val="20"/>
          <w:szCs w:val="20"/>
        </w:rPr>
        <w:t>T</w:t>
      </w:r>
      <w:r w:rsidR="007A456F" w:rsidRPr="00060C19">
        <w:rPr>
          <w:sz w:val="20"/>
          <w:szCs w:val="20"/>
        </w:rPr>
        <w:t xml:space="preserve">he statistics on violent crimes in Virginia schools is encouraging. </w:t>
      </w:r>
      <w:r w:rsidRPr="00060C19">
        <w:rPr>
          <w:sz w:val="20"/>
          <w:szCs w:val="20"/>
        </w:rPr>
        <w:t xml:space="preserve">The </w:t>
      </w:r>
      <w:r w:rsidR="009D2F5E" w:rsidRPr="00060C19">
        <w:rPr>
          <w:sz w:val="20"/>
          <w:szCs w:val="20"/>
        </w:rPr>
        <w:t>number of weapons offenses is</w:t>
      </w:r>
      <w:r w:rsidR="007A456F" w:rsidRPr="00060C19">
        <w:rPr>
          <w:sz w:val="20"/>
          <w:szCs w:val="20"/>
        </w:rPr>
        <w:t xml:space="preserve"> down from 3,099 in 2009-2010 to 2,848 in 2011-2012</w:t>
      </w:r>
      <w:r w:rsidR="006849A5" w:rsidRPr="00060C19">
        <w:rPr>
          <w:sz w:val="20"/>
          <w:szCs w:val="20"/>
        </w:rPr>
        <w:t xml:space="preserve"> (VDOE, 2012)</w:t>
      </w:r>
      <w:r w:rsidR="007A456F" w:rsidRPr="00060C19">
        <w:rPr>
          <w:sz w:val="20"/>
          <w:szCs w:val="20"/>
        </w:rPr>
        <w:t>. In fact</w:t>
      </w:r>
      <w:r w:rsidR="004653D9" w:rsidRPr="00060C19">
        <w:rPr>
          <w:sz w:val="20"/>
          <w:szCs w:val="20"/>
        </w:rPr>
        <w:t>,</w:t>
      </w:r>
      <w:r w:rsidR="007A456F" w:rsidRPr="00060C19">
        <w:rPr>
          <w:sz w:val="20"/>
          <w:szCs w:val="20"/>
        </w:rPr>
        <w:t xml:space="preserve"> all offense categories were down in 2011-2012 </w:t>
      </w:r>
      <w:r w:rsidR="00C87108" w:rsidRPr="00060C19">
        <w:rPr>
          <w:sz w:val="20"/>
          <w:szCs w:val="20"/>
        </w:rPr>
        <w:t xml:space="preserve">from the previous year </w:t>
      </w:r>
      <w:r w:rsidR="007A456F" w:rsidRPr="00060C19">
        <w:rPr>
          <w:sz w:val="20"/>
          <w:szCs w:val="20"/>
        </w:rPr>
        <w:t xml:space="preserve">with the exception of the alcohol, tobacco, and other drug offenses </w:t>
      </w:r>
      <w:r w:rsidR="00C87108" w:rsidRPr="00060C19">
        <w:rPr>
          <w:sz w:val="20"/>
          <w:szCs w:val="20"/>
        </w:rPr>
        <w:t>category.</w:t>
      </w:r>
      <w:r w:rsidR="007A456F" w:rsidRPr="00060C19">
        <w:rPr>
          <w:sz w:val="20"/>
          <w:szCs w:val="20"/>
        </w:rPr>
        <w:t xml:space="preserve"> </w:t>
      </w:r>
      <w:r w:rsidR="00320330" w:rsidRPr="00060C19">
        <w:rPr>
          <w:sz w:val="20"/>
          <w:szCs w:val="20"/>
        </w:rPr>
        <w:t xml:space="preserve"> Shootings and extreme violent acts are rare. More common </w:t>
      </w:r>
      <w:r w:rsidR="00025002" w:rsidRPr="00060C19">
        <w:rPr>
          <w:sz w:val="20"/>
          <w:szCs w:val="20"/>
        </w:rPr>
        <w:t>is disruptive behavior. Nationally</w:t>
      </w:r>
      <w:r w:rsidR="000352C7" w:rsidRPr="00060C19">
        <w:rPr>
          <w:sz w:val="20"/>
          <w:szCs w:val="20"/>
        </w:rPr>
        <w:t>, school wide</w:t>
      </w:r>
      <w:r w:rsidR="00223A6F" w:rsidRPr="00060C19">
        <w:rPr>
          <w:sz w:val="20"/>
          <w:szCs w:val="20"/>
        </w:rPr>
        <w:t xml:space="preserve"> behavior management p</w:t>
      </w:r>
      <w:r w:rsidR="00007CB9" w:rsidRPr="00060C19">
        <w:rPr>
          <w:sz w:val="20"/>
          <w:szCs w:val="20"/>
        </w:rPr>
        <w:t>rograms including Positive Behavioral Int</w:t>
      </w:r>
      <w:r w:rsidR="007A456F" w:rsidRPr="00060C19">
        <w:rPr>
          <w:sz w:val="20"/>
          <w:szCs w:val="20"/>
        </w:rPr>
        <w:t xml:space="preserve">erventions and Supports (PBIS) are </w:t>
      </w:r>
      <w:r w:rsidR="00025002" w:rsidRPr="00060C19">
        <w:rPr>
          <w:sz w:val="20"/>
          <w:szCs w:val="20"/>
        </w:rPr>
        <w:t xml:space="preserve">challenging </w:t>
      </w:r>
      <w:r w:rsidRPr="00060C19">
        <w:rPr>
          <w:sz w:val="20"/>
          <w:szCs w:val="20"/>
        </w:rPr>
        <w:t>z</w:t>
      </w:r>
      <w:r w:rsidR="00025002" w:rsidRPr="00060C19">
        <w:rPr>
          <w:sz w:val="20"/>
          <w:szCs w:val="20"/>
        </w:rPr>
        <w:t>ero</w:t>
      </w:r>
      <w:r w:rsidRPr="00060C19">
        <w:rPr>
          <w:sz w:val="20"/>
          <w:szCs w:val="20"/>
        </w:rPr>
        <w:t>-t</w:t>
      </w:r>
      <w:r w:rsidR="00007CB9" w:rsidRPr="00060C19">
        <w:rPr>
          <w:sz w:val="20"/>
          <w:szCs w:val="20"/>
        </w:rPr>
        <w:t xml:space="preserve">olerance policies and severe options for addressing misbehavior. </w:t>
      </w:r>
      <w:r w:rsidR="002C1792" w:rsidRPr="00060C19">
        <w:rPr>
          <w:sz w:val="20"/>
          <w:szCs w:val="20"/>
        </w:rPr>
        <w:t xml:space="preserve">In 2009, VDOE released </w:t>
      </w:r>
      <w:r w:rsidRPr="00060C19">
        <w:rPr>
          <w:sz w:val="20"/>
          <w:szCs w:val="20"/>
        </w:rPr>
        <w:t>the</w:t>
      </w:r>
      <w:r w:rsidR="002C1792" w:rsidRPr="00060C19">
        <w:rPr>
          <w:sz w:val="20"/>
          <w:szCs w:val="20"/>
        </w:rPr>
        <w:t xml:space="preserve"> </w:t>
      </w:r>
      <w:hyperlink r:id="rId9" w:history="1">
        <w:r w:rsidR="002C1792" w:rsidRPr="00060C19">
          <w:rPr>
            <w:rStyle w:val="Hyperlink"/>
            <w:rFonts w:cs="Arial"/>
            <w:bCs/>
            <w:i/>
            <w:color w:val="auto"/>
            <w:sz w:val="20"/>
            <w:szCs w:val="20"/>
            <w:u w:val="none"/>
          </w:rPr>
          <w:t>Functional Behavioral Assessment, Behavior Intervention Plans and Positive Intervention and Supports</w:t>
        </w:r>
      </w:hyperlink>
      <w:r w:rsidR="002C1792" w:rsidRPr="00060C19">
        <w:rPr>
          <w:rFonts w:cs="Arial"/>
          <w:sz w:val="20"/>
          <w:szCs w:val="20"/>
        </w:rPr>
        <w:t xml:space="preserve"> </w:t>
      </w:r>
      <w:r w:rsidR="004653D9" w:rsidRPr="00060C19">
        <w:rPr>
          <w:rFonts w:cs="Arial"/>
          <w:sz w:val="20"/>
          <w:szCs w:val="20"/>
        </w:rPr>
        <w:t xml:space="preserve">as a state guide to </w:t>
      </w:r>
      <w:r w:rsidR="002C1792" w:rsidRPr="00060C19">
        <w:rPr>
          <w:rFonts w:cs="Arial"/>
          <w:color w:val="000000"/>
          <w:sz w:val="20"/>
          <w:szCs w:val="20"/>
        </w:rPr>
        <w:t xml:space="preserve">address misconduct. </w:t>
      </w:r>
    </w:p>
    <w:p w:rsidR="00EF25D7" w:rsidRPr="00060C19" w:rsidRDefault="00EF25D7" w:rsidP="007C5ACF">
      <w:pPr>
        <w:pStyle w:val="NoSpacing"/>
        <w:rPr>
          <w:sz w:val="20"/>
          <w:szCs w:val="20"/>
        </w:rPr>
      </w:pPr>
    </w:p>
    <w:p w:rsidR="00411636" w:rsidRPr="00060C19" w:rsidRDefault="00FC69B9" w:rsidP="007C5ACF">
      <w:pPr>
        <w:pStyle w:val="NoSpacing"/>
        <w:rPr>
          <w:rFonts w:eastAsia="Times New Roman"/>
          <w:sz w:val="20"/>
          <w:szCs w:val="20"/>
        </w:rPr>
      </w:pPr>
      <w:r w:rsidRPr="00060C19">
        <w:rPr>
          <w:rFonts w:cs="Adobe Garamond Pro"/>
          <w:color w:val="000000"/>
          <w:sz w:val="20"/>
          <w:szCs w:val="20"/>
        </w:rPr>
        <w:lastRenderedPageBreak/>
        <w:t>A</w:t>
      </w:r>
      <w:r w:rsidR="00025002" w:rsidRPr="00060C19">
        <w:rPr>
          <w:rFonts w:cs="Adobe Garamond Pro"/>
          <w:color w:val="000000"/>
          <w:sz w:val="20"/>
          <w:szCs w:val="20"/>
        </w:rPr>
        <w:t xml:space="preserve">ddressing </w:t>
      </w:r>
      <w:r w:rsidR="006E20AC" w:rsidRPr="00060C19">
        <w:rPr>
          <w:rFonts w:cs="Adobe Garamond Pro"/>
          <w:color w:val="000000"/>
          <w:sz w:val="20"/>
          <w:szCs w:val="20"/>
        </w:rPr>
        <w:t>chal</w:t>
      </w:r>
      <w:r w:rsidRPr="00060C19">
        <w:rPr>
          <w:rFonts w:cs="Adobe Garamond Pro"/>
          <w:color w:val="000000"/>
          <w:sz w:val="20"/>
          <w:szCs w:val="20"/>
        </w:rPr>
        <w:t>lenge</w:t>
      </w:r>
      <w:r w:rsidR="00F7624B" w:rsidRPr="00060C19">
        <w:rPr>
          <w:rFonts w:cs="Adobe Garamond Pro"/>
          <w:color w:val="000000"/>
          <w:sz w:val="20"/>
          <w:szCs w:val="20"/>
        </w:rPr>
        <w:t>s</w:t>
      </w:r>
      <w:r w:rsidR="00025002" w:rsidRPr="00060C19">
        <w:rPr>
          <w:rFonts w:cs="Adobe Garamond Pro"/>
          <w:color w:val="000000"/>
          <w:sz w:val="20"/>
          <w:szCs w:val="20"/>
        </w:rPr>
        <w:t xml:space="preserve"> </w:t>
      </w:r>
      <w:r w:rsidR="00AC5B41" w:rsidRPr="00060C19">
        <w:rPr>
          <w:rFonts w:cs="Adobe Garamond Pro"/>
          <w:color w:val="000000"/>
          <w:sz w:val="20"/>
          <w:szCs w:val="20"/>
        </w:rPr>
        <w:t xml:space="preserve">in </w:t>
      </w:r>
      <w:r w:rsidR="00680638" w:rsidRPr="00060C19">
        <w:rPr>
          <w:rFonts w:cs="Adobe Garamond Pro"/>
          <w:color w:val="000000"/>
          <w:sz w:val="20"/>
          <w:szCs w:val="20"/>
        </w:rPr>
        <w:t>Pre</w:t>
      </w:r>
      <w:r w:rsidR="00AC5B41" w:rsidRPr="00060C19">
        <w:rPr>
          <w:rFonts w:cs="Adobe Garamond Pro"/>
          <w:color w:val="000000"/>
          <w:sz w:val="20"/>
          <w:szCs w:val="20"/>
        </w:rPr>
        <w:t xml:space="preserve">K-12 education </w:t>
      </w:r>
      <w:r w:rsidRPr="00060C19">
        <w:rPr>
          <w:rFonts w:cs="Adobe Garamond Pro"/>
          <w:color w:val="000000"/>
          <w:sz w:val="20"/>
          <w:szCs w:val="20"/>
        </w:rPr>
        <w:t xml:space="preserve">typically requires </w:t>
      </w:r>
      <w:r w:rsidR="00F7624B" w:rsidRPr="00060C19">
        <w:rPr>
          <w:rFonts w:cs="Adobe Garamond Pro"/>
          <w:color w:val="000000"/>
          <w:sz w:val="20"/>
          <w:szCs w:val="20"/>
        </w:rPr>
        <w:t>additional</w:t>
      </w:r>
      <w:r w:rsidRPr="00060C19">
        <w:rPr>
          <w:rFonts w:cs="Adobe Garamond Pro"/>
          <w:color w:val="000000"/>
          <w:sz w:val="20"/>
          <w:szCs w:val="20"/>
        </w:rPr>
        <w:t xml:space="preserve"> </w:t>
      </w:r>
      <w:r w:rsidR="00025002" w:rsidRPr="00060C19">
        <w:rPr>
          <w:rFonts w:cs="Adobe Garamond Pro"/>
          <w:color w:val="000000"/>
          <w:sz w:val="20"/>
          <w:szCs w:val="20"/>
        </w:rPr>
        <w:t xml:space="preserve">financial and human </w:t>
      </w:r>
      <w:r w:rsidR="00F7624B" w:rsidRPr="00060C19">
        <w:rPr>
          <w:rFonts w:cs="Adobe Garamond Pro"/>
          <w:color w:val="000000"/>
          <w:sz w:val="20"/>
          <w:szCs w:val="20"/>
        </w:rPr>
        <w:t>resources</w:t>
      </w:r>
      <w:r w:rsidR="00025002" w:rsidRPr="00060C19">
        <w:rPr>
          <w:rFonts w:cs="Adobe Garamond Pro"/>
          <w:color w:val="000000"/>
          <w:sz w:val="20"/>
          <w:szCs w:val="20"/>
        </w:rPr>
        <w:t xml:space="preserve">.  </w:t>
      </w:r>
      <w:r w:rsidR="00D420D0" w:rsidRPr="00060C19">
        <w:rPr>
          <w:rFonts w:cs="Adobe Garamond Pro"/>
          <w:color w:val="000000"/>
          <w:sz w:val="20"/>
          <w:szCs w:val="20"/>
        </w:rPr>
        <w:t xml:space="preserve">Although the </w:t>
      </w:r>
      <w:r w:rsidR="000352C7" w:rsidRPr="00060C19">
        <w:rPr>
          <w:rFonts w:cs="Adobe Garamond Pro"/>
          <w:color w:val="000000"/>
          <w:sz w:val="20"/>
          <w:szCs w:val="20"/>
        </w:rPr>
        <w:t>General Assembly</w:t>
      </w:r>
      <w:r w:rsidR="00D420D0" w:rsidRPr="00060C19">
        <w:rPr>
          <w:rFonts w:cs="Adobe Garamond Pro"/>
          <w:color w:val="000000"/>
          <w:sz w:val="20"/>
          <w:szCs w:val="20"/>
        </w:rPr>
        <w:t xml:space="preserve"> provided</w:t>
      </w:r>
      <w:r w:rsidR="00C6494D" w:rsidRPr="00060C19">
        <w:rPr>
          <w:rFonts w:cs="Adobe Garamond Pro"/>
          <w:color w:val="000000"/>
          <w:sz w:val="20"/>
          <w:szCs w:val="20"/>
        </w:rPr>
        <w:t xml:space="preserve"> additional funding </w:t>
      </w:r>
      <w:r w:rsidR="00F7624B" w:rsidRPr="00060C19">
        <w:rPr>
          <w:rFonts w:cs="Adobe Garamond Pro"/>
          <w:color w:val="000000"/>
          <w:sz w:val="20"/>
          <w:szCs w:val="20"/>
        </w:rPr>
        <w:t>for</w:t>
      </w:r>
      <w:r w:rsidR="00C6494D" w:rsidRPr="00060C19">
        <w:rPr>
          <w:rFonts w:cs="Adobe Garamond Pro"/>
          <w:color w:val="000000"/>
          <w:sz w:val="20"/>
          <w:szCs w:val="20"/>
        </w:rPr>
        <w:t xml:space="preserve"> </w:t>
      </w:r>
      <w:r w:rsidR="007E2DB3" w:rsidRPr="00060C19">
        <w:rPr>
          <w:rFonts w:cs="Adobe Garamond Pro"/>
          <w:color w:val="000000"/>
          <w:sz w:val="20"/>
          <w:szCs w:val="20"/>
        </w:rPr>
        <w:t>education</w:t>
      </w:r>
      <w:r w:rsidR="00336197" w:rsidRPr="00060C19">
        <w:rPr>
          <w:rFonts w:cs="Adobe Garamond Pro"/>
          <w:color w:val="000000"/>
          <w:sz w:val="20"/>
          <w:szCs w:val="20"/>
        </w:rPr>
        <w:t xml:space="preserve"> </w:t>
      </w:r>
      <w:r w:rsidR="005425DB" w:rsidRPr="00060C19">
        <w:rPr>
          <w:rFonts w:cs="Adobe Garamond Pro"/>
          <w:color w:val="000000"/>
          <w:sz w:val="20"/>
          <w:szCs w:val="20"/>
        </w:rPr>
        <w:t>in the 2013 session</w:t>
      </w:r>
      <w:r w:rsidR="007E2DB3" w:rsidRPr="00060C19">
        <w:rPr>
          <w:rFonts w:cs="Adobe Garamond Pro"/>
          <w:color w:val="000000"/>
          <w:sz w:val="20"/>
          <w:szCs w:val="20"/>
        </w:rPr>
        <w:t xml:space="preserve">, local divisions </w:t>
      </w:r>
      <w:r w:rsidR="00F7624B" w:rsidRPr="00060C19">
        <w:rPr>
          <w:rFonts w:cs="Adobe Garamond Pro"/>
          <w:color w:val="000000"/>
          <w:sz w:val="20"/>
          <w:szCs w:val="20"/>
        </w:rPr>
        <w:t>continue to struggle with</w:t>
      </w:r>
      <w:r w:rsidR="004342B7" w:rsidRPr="00060C19">
        <w:rPr>
          <w:rFonts w:cs="Adobe Garamond Pro"/>
          <w:color w:val="000000"/>
          <w:sz w:val="20"/>
          <w:szCs w:val="20"/>
        </w:rPr>
        <w:t xml:space="preserve"> </w:t>
      </w:r>
      <w:r w:rsidR="00AC5B41" w:rsidRPr="00060C19">
        <w:rPr>
          <w:rFonts w:cs="Adobe Garamond Pro"/>
          <w:color w:val="000000"/>
          <w:sz w:val="20"/>
          <w:szCs w:val="20"/>
        </w:rPr>
        <w:t>financial deficits</w:t>
      </w:r>
      <w:r w:rsidR="004342B7" w:rsidRPr="00060C19">
        <w:rPr>
          <w:rFonts w:cs="Adobe Garamond Pro"/>
          <w:color w:val="000000"/>
          <w:sz w:val="20"/>
          <w:szCs w:val="20"/>
        </w:rPr>
        <w:t xml:space="preserve"> </w:t>
      </w:r>
      <w:r w:rsidR="00F7624B" w:rsidRPr="00060C19">
        <w:rPr>
          <w:rFonts w:cs="Adobe Garamond Pro"/>
          <w:color w:val="000000"/>
          <w:sz w:val="20"/>
          <w:szCs w:val="20"/>
        </w:rPr>
        <w:t>resulting from</w:t>
      </w:r>
      <w:r w:rsidR="004342B7" w:rsidRPr="00060C19">
        <w:rPr>
          <w:rFonts w:cs="Adobe Garamond Pro"/>
          <w:color w:val="000000"/>
          <w:sz w:val="20"/>
          <w:szCs w:val="20"/>
        </w:rPr>
        <w:t xml:space="preserve"> </w:t>
      </w:r>
      <w:r w:rsidR="008F777C" w:rsidRPr="00060C19">
        <w:rPr>
          <w:rFonts w:cs="Adobe Garamond Pro"/>
          <w:color w:val="000000"/>
          <w:sz w:val="20"/>
          <w:szCs w:val="20"/>
        </w:rPr>
        <w:t>the</w:t>
      </w:r>
      <w:r w:rsidR="007E2DB3" w:rsidRPr="00060C19">
        <w:rPr>
          <w:rFonts w:cs="Adobe Garamond Pro"/>
          <w:color w:val="000000"/>
          <w:sz w:val="20"/>
          <w:szCs w:val="20"/>
        </w:rPr>
        <w:t xml:space="preserve"> </w:t>
      </w:r>
      <w:r w:rsidR="008F777C" w:rsidRPr="00060C19">
        <w:rPr>
          <w:rFonts w:cs="Adobe Garamond Pro"/>
          <w:color w:val="000000"/>
          <w:sz w:val="20"/>
          <w:szCs w:val="20"/>
        </w:rPr>
        <w:t xml:space="preserve">current </w:t>
      </w:r>
      <w:r w:rsidR="007E2DB3" w:rsidRPr="00060C19">
        <w:rPr>
          <w:rFonts w:cs="Adobe Garamond Pro"/>
          <w:color w:val="000000"/>
          <w:sz w:val="20"/>
          <w:szCs w:val="20"/>
        </w:rPr>
        <w:t>national economic</w:t>
      </w:r>
      <w:r w:rsidR="008F777C" w:rsidRPr="00060C19">
        <w:rPr>
          <w:rFonts w:cs="Adobe Garamond Pro"/>
          <w:color w:val="000000"/>
          <w:sz w:val="20"/>
          <w:szCs w:val="20"/>
        </w:rPr>
        <w:t xml:space="preserve"> crisis. </w:t>
      </w:r>
      <w:r w:rsidR="00411636" w:rsidRPr="00060C19">
        <w:rPr>
          <w:rFonts w:cs="Adobe Garamond Pro"/>
          <w:color w:val="000000"/>
          <w:sz w:val="20"/>
          <w:szCs w:val="20"/>
        </w:rPr>
        <w:t xml:space="preserve">The Joint Legislative Audit and Review Commission (JLARC) 2013 report on Virginia </w:t>
      </w:r>
      <w:r w:rsidR="005B5E05" w:rsidRPr="00060C19">
        <w:rPr>
          <w:rFonts w:cs="Adobe Garamond Pro"/>
          <w:color w:val="000000"/>
          <w:sz w:val="20"/>
          <w:szCs w:val="20"/>
        </w:rPr>
        <w:t>compared to other states reported</w:t>
      </w:r>
      <w:r w:rsidR="004653D9" w:rsidRPr="00060C19">
        <w:rPr>
          <w:rFonts w:cs="Adobe Garamond Pro"/>
          <w:color w:val="000000"/>
          <w:sz w:val="20"/>
          <w:szCs w:val="20"/>
        </w:rPr>
        <w:t xml:space="preserve"> the Commonwealth </w:t>
      </w:r>
      <w:r w:rsidR="00F7624B" w:rsidRPr="00060C19">
        <w:rPr>
          <w:rFonts w:cs="Adobe Garamond Pro"/>
          <w:color w:val="000000"/>
          <w:sz w:val="20"/>
          <w:szCs w:val="20"/>
        </w:rPr>
        <w:t xml:space="preserve">of Virginia </w:t>
      </w:r>
      <w:r w:rsidR="00411636" w:rsidRPr="00060C19">
        <w:rPr>
          <w:rFonts w:cs="Adobe Garamond Pro"/>
          <w:color w:val="000000"/>
          <w:sz w:val="20"/>
          <w:szCs w:val="20"/>
        </w:rPr>
        <w:t>rank</w:t>
      </w:r>
      <w:r w:rsidR="004653D9" w:rsidRPr="00060C19">
        <w:rPr>
          <w:rFonts w:cs="Adobe Garamond Pro"/>
          <w:color w:val="000000"/>
          <w:sz w:val="20"/>
          <w:szCs w:val="20"/>
        </w:rPr>
        <w:t>ed</w:t>
      </w:r>
      <w:r w:rsidR="00411636" w:rsidRPr="00060C19">
        <w:rPr>
          <w:rFonts w:cs="Adobe Garamond Pro"/>
          <w:color w:val="000000"/>
          <w:sz w:val="20"/>
          <w:szCs w:val="20"/>
        </w:rPr>
        <w:t xml:space="preserve"> 38</w:t>
      </w:r>
      <w:r w:rsidR="00411636" w:rsidRPr="00060C19">
        <w:rPr>
          <w:rFonts w:cs="Adobe Garamond Pro"/>
          <w:color w:val="000000"/>
          <w:sz w:val="20"/>
          <w:szCs w:val="20"/>
          <w:vertAlign w:val="superscript"/>
        </w:rPr>
        <w:t>th</w:t>
      </w:r>
      <w:r w:rsidR="00411636" w:rsidRPr="00060C19">
        <w:rPr>
          <w:rFonts w:cs="Adobe Garamond Pro"/>
          <w:color w:val="000000"/>
          <w:sz w:val="20"/>
          <w:szCs w:val="20"/>
        </w:rPr>
        <w:t xml:space="preserve"> in</w:t>
      </w:r>
      <w:r w:rsidR="004653D9" w:rsidRPr="00060C19">
        <w:rPr>
          <w:rFonts w:cs="Adobe Garamond Pro"/>
          <w:color w:val="000000"/>
          <w:sz w:val="20"/>
          <w:szCs w:val="20"/>
        </w:rPr>
        <w:t xml:space="preserve"> state per pupil funding for Pre</w:t>
      </w:r>
      <w:r w:rsidR="00411636" w:rsidRPr="00060C19">
        <w:rPr>
          <w:rFonts w:cs="Adobe Garamond Pro"/>
          <w:color w:val="000000"/>
          <w:sz w:val="20"/>
          <w:szCs w:val="20"/>
        </w:rPr>
        <w:t>K-12 and 21</w:t>
      </w:r>
      <w:r w:rsidR="00411636" w:rsidRPr="00060C19">
        <w:rPr>
          <w:rFonts w:cs="Adobe Garamond Pro"/>
          <w:color w:val="000000"/>
          <w:sz w:val="20"/>
          <w:szCs w:val="20"/>
          <w:vertAlign w:val="superscript"/>
        </w:rPr>
        <w:t>st</w:t>
      </w:r>
      <w:r w:rsidR="00411636" w:rsidRPr="00060C19">
        <w:rPr>
          <w:rFonts w:cs="Adobe Garamond Pro"/>
          <w:color w:val="000000"/>
          <w:sz w:val="20"/>
          <w:szCs w:val="20"/>
        </w:rPr>
        <w:t xml:space="preserve"> in </w:t>
      </w:r>
      <w:r w:rsidR="00095195" w:rsidRPr="00060C19">
        <w:rPr>
          <w:rFonts w:cs="Adobe Garamond Pro"/>
          <w:color w:val="000000"/>
          <w:sz w:val="20"/>
          <w:szCs w:val="20"/>
        </w:rPr>
        <w:t xml:space="preserve">combined </w:t>
      </w:r>
      <w:r w:rsidR="000352C7" w:rsidRPr="00060C19">
        <w:rPr>
          <w:rFonts w:cs="Adobe Garamond Pro"/>
          <w:color w:val="000000"/>
          <w:sz w:val="20"/>
          <w:szCs w:val="20"/>
        </w:rPr>
        <w:t xml:space="preserve">local and state </w:t>
      </w:r>
      <w:r w:rsidR="00411636" w:rsidRPr="00060C19">
        <w:rPr>
          <w:rFonts w:cs="Adobe Garamond Pro"/>
          <w:color w:val="000000"/>
          <w:sz w:val="20"/>
          <w:szCs w:val="20"/>
        </w:rPr>
        <w:t xml:space="preserve">funding. </w:t>
      </w:r>
      <w:r w:rsidR="008F777C" w:rsidRPr="00060C19">
        <w:rPr>
          <w:rFonts w:cs="Adobe Garamond Pro"/>
          <w:color w:val="000000"/>
          <w:sz w:val="20"/>
          <w:szCs w:val="20"/>
        </w:rPr>
        <w:t>Data from the National Ed</w:t>
      </w:r>
      <w:r w:rsidR="00721061" w:rsidRPr="00060C19">
        <w:rPr>
          <w:rFonts w:cs="Adobe Garamond Pro"/>
          <w:color w:val="000000"/>
          <w:sz w:val="20"/>
          <w:szCs w:val="20"/>
        </w:rPr>
        <w:t xml:space="preserve">ucation Association (NEA) ranked </w:t>
      </w:r>
      <w:r w:rsidR="00721061" w:rsidRPr="00060C19">
        <w:rPr>
          <w:rFonts w:cs="Adobe Garamond Pro"/>
          <w:sz w:val="20"/>
          <w:szCs w:val="20"/>
        </w:rPr>
        <w:t xml:space="preserve">Virginia </w:t>
      </w:r>
      <w:r w:rsidR="00721061" w:rsidRPr="00060C19">
        <w:rPr>
          <w:rFonts w:eastAsia="Times New Roman"/>
          <w:sz w:val="20"/>
          <w:szCs w:val="20"/>
        </w:rPr>
        <w:t>30</w:t>
      </w:r>
      <w:r w:rsidR="00CB6958" w:rsidRPr="00060C19">
        <w:rPr>
          <w:rFonts w:eastAsia="Times New Roman"/>
          <w:sz w:val="20"/>
          <w:szCs w:val="20"/>
          <w:vertAlign w:val="superscript"/>
        </w:rPr>
        <w:t>th</w:t>
      </w:r>
      <w:r w:rsidR="00C6494D" w:rsidRPr="00060C19">
        <w:rPr>
          <w:rFonts w:eastAsia="Times New Roman"/>
          <w:sz w:val="20"/>
          <w:szCs w:val="20"/>
        </w:rPr>
        <w:t xml:space="preserve"> in </w:t>
      </w:r>
      <w:r w:rsidR="00721061" w:rsidRPr="00060C19">
        <w:rPr>
          <w:rFonts w:eastAsia="Times New Roman"/>
          <w:sz w:val="20"/>
          <w:szCs w:val="20"/>
        </w:rPr>
        <w:t xml:space="preserve">average public school </w:t>
      </w:r>
      <w:r w:rsidR="00CB6958" w:rsidRPr="00060C19">
        <w:rPr>
          <w:rFonts w:eastAsia="Times New Roman"/>
          <w:sz w:val="20"/>
          <w:szCs w:val="20"/>
        </w:rPr>
        <w:t>teacher salary</w:t>
      </w:r>
      <w:r w:rsidR="00C6494D" w:rsidRPr="00060C19">
        <w:rPr>
          <w:rFonts w:eastAsia="Times New Roman"/>
          <w:sz w:val="20"/>
          <w:szCs w:val="20"/>
        </w:rPr>
        <w:t xml:space="preserve"> for 2011</w:t>
      </w:r>
      <w:r w:rsidR="00721061" w:rsidRPr="00060C19">
        <w:rPr>
          <w:rFonts w:eastAsia="Times New Roman"/>
          <w:sz w:val="20"/>
          <w:szCs w:val="20"/>
        </w:rPr>
        <w:t xml:space="preserve">-2012. </w:t>
      </w:r>
      <w:r w:rsidR="00CB6958" w:rsidRPr="00060C19">
        <w:rPr>
          <w:rFonts w:eastAsia="Times New Roman"/>
          <w:sz w:val="20"/>
          <w:szCs w:val="20"/>
        </w:rPr>
        <w:t xml:space="preserve"> </w:t>
      </w:r>
      <w:r w:rsidR="00ED565D" w:rsidRPr="00060C19">
        <w:rPr>
          <w:rFonts w:eastAsia="Times New Roman"/>
          <w:sz w:val="20"/>
          <w:szCs w:val="20"/>
        </w:rPr>
        <w:t xml:space="preserve">Adjusting for inflation, the NEA estimates </w:t>
      </w:r>
      <w:r w:rsidR="00411636" w:rsidRPr="00060C19">
        <w:rPr>
          <w:rFonts w:eastAsia="Times New Roman"/>
          <w:sz w:val="20"/>
          <w:szCs w:val="20"/>
        </w:rPr>
        <w:t xml:space="preserve">the average teacher salary in Virginia </w:t>
      </w:r>
      <w:r w:rsidR="00F7624B" w:rsidRPr="00060C19">
        <w:rPr>
          <w:rFonts w:eastAsia="Times New Roman"/>
          <w:sz w:val="20"/>
          <w:szCs w:val="20"/>
        </w:rPr>
        <w:t>has decreased by</w:t>
      </w:r>
      <w:r w:rsidR="00411636" w:rsidRPr="00060C19">
        <w:rPr>
          <w:rFonts w:eastAsia="Times New Roman"/>
          <w:sz w:val="20"/>
          <w:szCs w:val="20"/>
        </w:rPr>
        <w:t xml:space="preserve"> 8.7% </w:t>
      </w:r>
      <w:r w:rsidR="005B5E05" w:rsidRPr="00060C19">
        <w:rPr>
          <w:rFonts w:eastAsia="Times New Roman"/>
          <w:sz w:val="20"/>
          <w:szCs w:val="20"/>
        </w:rPr>
        <w:t xml:space="preserve">in the decade from </w:t>
      </w:r>
      <w:r w:rsidR="00411636" w:rsidRPr="00060C19">
        <w:rPr>
          <w:rFonts w:eastAsia="Times New Roman"/>
          <w:sz w:val="20"/>
          <w:szCs w:val="20"/>
        </w:rPr>
        <w:t>2001</w:t>
      </w:r>
      <w:r w:rsidR="005B5E05" w:rsidRPr="00060C19">
        <w:rPr>
          <w:rFonts w:eastAsia="Times New Roman"/>
          <w:sz w:val="20"/>
          <w:szCs w:val="20"/>
        </w:rPr>
        <w:t>-02 to 2011-12</w:t>
      </w:r>
      <w:r w:rsidR="00411636" w:rsidRPr="00060C19">
        <w:rPr>
          <w:rFonts w:eastAsia="Times New Roman"/>
          <w:sz w:val="20"/>
          <w:szCs w:val="20"/>
        </w:rPr>
        <w:t xml:space="preserve">. </w:t>
      </w:r>
    </w:p>
    <w:p w:rsidR="00A83C1E" w:rsidRPr="00060C19" w:rsidRDefault="00411636" w:rsidP="007C5ACF">
      <w:pPr>
        <w:pStyle w:val="NoSpacing"/>
        <w:rPr>
          <w:rFonts w:eastAsia="Times New Roman"/>
          <w:sz w:val="20"/>
          <w:szCs w:val="20"/>
        </w:rPr>
      </w:pPr>
      <w:r w:rsidRPr="00060C19">
        <w:rPr>
          <w:rFonts w:cs="Adobe Garamond Pro"/>
          <w:color w:val="000000"/>
          <w:sz w:val="20"/>
          <w:szCs w:val="20"/>
        </w:rPr>
        <w:t xml:space="preserve">Given the pressures placed on local school budgets across </w:t>
      </w:r>
      <w:r w:rsidR="00F7624B" w:rsidRPr="00060C19">
        <w:rPr>
          <w:rFonts w:cs="Adobe Garamond Pro"/>
          <w:color w:val="000000"/>
          <w:sz w:val="20"/>
          <w:szCs w:val="20"/>
        </w:rPr>
        <w:t>Virginia</w:t>
      </w:r>
      <w:r w:rsidRPr="00060C19">
        <w:rPr>
          <w:rFonts w:cs="Adobe Garamond Pro"/>
          <w:color w:val="000000"/>
          <w:sz w:val="20"/>
          <w:szCs w:val="20"/>
        </w:rPr>
        <w:t xml:space="preserve">, utilizing resources effectively has become increasingly critical. Decisions often come with a cost. </w:t>
      </w:r>
      <w:r w:rsidR="00ED565D" w:rsidRPr="00060C19">
        <w:rPr>
          <w:rFonts w:eastAsia="Times New Roman"/>
          <w:sz w:val="20"/>
          <w:szCs w:val="20"/>
        </w:rPr>
        <w:t>S</w:t>
      </w:r>
      <w:r w:rsidR="00721061" w:rsidRPr="00060C19">
        <w:rPr>
          <w:rFonts w:eastAsia="Times New Roman"/>
          <w:sz w:val="20"/>
          <w:szCs w:val="20"/>
        </w:rPr>
        <w:t xml:space="preserve">alary increases </w:t>
      </w:r>
      <w:r w:rsidR="00CB6958" w:rsidRPr="00060C19">
        <w:rPr>
          <w:rFonts w:eastAsia="Times New Roman"/>
          <w:sz w:val="20"/>
          <w:szCs w:val="20"/>
        </w:rPr>
        <w:t>must be weighed against</w:t>
      </w:r>
      <w:r w:rsidR="00F7624B" w:rsidRPr="00060C19">
        <w:rPr>
          <w:rFonts w:eastAsia="Times New Roman"/>
          <w:sz w:val="20"/>
          <w:szCs w:val="20"/>
        </w:rPr>
        <w:t xml:space="preserve"> other necessities</w:t>
      </w:r>
      <w:r w:rsidR="00721061" w:rsidRPr="00060C19">
        <w:rPr>
          <w:rFonts w:eastAsia="Times New Roman"/>
          <w:sz w:val="20"/>
          <w:szCs w:val="20"/>
        </w:rPr>
        <w:t>,</w:t>
      </w:r>
      <w:r w:rsidR="00F7624B" w:rsidRPr="00060C19">
        <w:rPr>
          <w:rFonts w:eastAsia="Times New Roman"/>
          <w:sz w:val="20"/>
          <w:szCs w:val="20"/>
        </w:rPr>
        <w:t xml:space="preserve"> such as increasing the number of</w:t>
      </w:r>
      <w:r w:rsidR="00721061" w:rsidRPr="00060C19">
        <w:rPr>
          <w:rFonts w:eastAsia="Times New Roman"/>
          <w:sz w:val="20"/>
          <w:szCs w:val="20"/>
        </w:rPr>
        <w:t xml:space="preserve"> teach</w:t>
      </w:r>
      <w:r w:rsidR="00F7624B" w:rsidRPr="00060C19">
        <w:rPr>
          <w:rFonts w:eastAsia="Times New Roman"/>
          <w:sz w:val="20"/>
          <w:szCs w:val="20"/>
        </w:rPr>
        <w:t>er</w:t>
      </w:r>
      <w:r w:rsidR="00721061" w:rsidRPr="00060C19">
        <w:rPr>
          <w:rFonts w:eastAsia="Times New Roman"/>
          <w:sz w:val="20"/>
          <w:szCs w:val="20"/>
        </w:rPr>
        <w:t xml:space="preserve"> positions</w:t>
      </w:r>
      <w:r w:rsidR="00F7624B" w:rsidRPr="00060C19">
        <w:rPr>
          <w:rFonts w:eastAsia="Times New Roman"/>
          <w:sz w:val="20"/>
          <w:szCs w:val="20"/>
        </w:rPr>
        <w:t xml:space="preserve"> and</w:t>
      </w:r>
      <w:r w:rsidR="00721061" w:rsidRPr="00060C19">
        <w:rPr>
          <w:rFonts w:eastAsia="Times New Roman"/>
          <w:sz w:val="20"/>
          <w:szCs w:val="20"/>
        </w:rPr>
        <w:t xml:space="preserve"> support staff, </w:t>
      </w:r>
      <w:r w:rsidR="000352C7" w:rsidRPr="00060C19">
        <w:rPr>
          <w:rFonts w:eastAsia="Times New Roman"/>
          <w:sz w:val="20"/>
          <w:szCs w:val="20"/>
        </w:rPr>
        <w:t xml:space="preserve">or </w:t>
      </w:r>
      <w:r w:rsidR="00F7624B" w:rsidRPr="00060C19">
        <w:rPr>
          <w:rFonts w:eastAsia="Times New Roman"/>
          <w:sz w:val="20"/>
          <w:szCs w:val="20"/>
        </w:rPr>
        <w:t xml:space="preserve">expanding </w:t>
      </w:r>
      <w:r w:rsidR="00D420D0" w:rsidRPr="00060C19">
        <w:rPr>
          <w:rFonts w:eastAsia="Times New Roman"/>
          <w:sz w:val="20"/>
          <w:szCs w:val="20"/>
        </w:rPr>
        <w:t>overpopulated facilities and classroom size</w:t>
      </w:r>
      <w:r w:rsidR="000352C7" w:rsidRPr="00060C19">
        <w:rPr>
          <w:rFonts w:eastAsia="Times New Roman"/>
          <w:sz w:val="20"/>
          <w:szCs w:val="20"/>
        </w:rPr>
        <w:t>.</w:t>
      </w:r>
      <w:r w:rsidR="00721061" w:rsidRPr="00060C19">
        <w:rPr>
          <w:rFonts w:eastAsia="Times New Roman"/>
          <w:sz w:val="20"/>
          <w:szCs w:val="20"/>
        </w:rPr>
        <w:t xml:space="preserve"> School leaders are under pressure to make </w:t>
      </w:r>
      <w:r w:rsidR="00F7624B" w:rsidRPr="00060C19">
        <w:rPr>
          <w:rFonts w:eastAsia="Times New Roman"/>
          <w:sz w:val="20"/>
          <w:szCs w:val="20"/>
        </w:rPr>
        <w:t>such</w:t>
      </w:r>
      <w:r w:rsidR="0089700F" w:rsidRPr="00060C19">
        <w:rPr>
          <w:rFonts w:eastAsia="Times New Roman"/>
          <w:sz w:val="20"/>
          <w:szCs w:val="20"/>
        </w:rPr>
        <w:t xml:space="preserve"> decisions with </w:t>
      </w:r>
      <w:r w:rsidR="000352C7" w:rsidRPr="00060C19">
        <w:rPr>
          <w:rFonts w:eastAsia="Times New Roman"/>
          <w:sz w:val="20"/>
          <w:szCs w:val="20"/>
        </w:rPr>
        <w:t>available</w:t>
      </w:r>
      <w:r w:rsidR="0089700F" w:rsidRPr="00060C19">
        <w:rPr>
          <w:rFonts w:eastAsia="Times New Roman"/>
          <w:sz w:val="20"/>
          <w:szCs w:val="20"/>
        </w:rPr>
        <w:t xml:space="preserve"> resources. </w:t>
      </w:r>
      <w:r w:rsidR="00FC69B9" w:rsidRPr="00060C19">
        <w:rPr>
          <w:rFonts w:eastAsia="Times New Roman"/>
          <w:sz w:val="20"/>
          <w:szCs w:val="20"/>
        </w:rPr>
        <w:t>A 2012 JLARC study</w:t>
      </w:r>
      <w:r w:rsidR="00F7624B" w:rsidRPr="00060C19">
        <w:rPr>
          <w:rFonts w:eastAsia="Times New Roman"/>
          <w:sz w:val="20"/>
          <w:szCs w:val="20"/>
        </w:rPr>
        <w:t>,</w:t>
      </w:r>
      <w:r w:rsidR="00FC69B9" w:rsidRPr="00060C19">
        <w:rPr>
          <w:rFonts w:eastAsia="Times New Roman"/>
          <w:sz w:val="20"/>
          <w:szCs w:val="20"/>
        </w:rPr>
        <w:t xml:space="preserve"> </w:t>
      </w:r>
      <w:r w:rsidR="00FC69B9" w:rsidRPr="00060C19">
        <w:rPr>
          <w:rStyle w:val="taghover1"/>
          <w:rFonts w:cs="Arial"/>
          <w:i/>
          <w:color w:val="auto"/>
          <w:sz w:val="20"/>
          <w:szCs w:val="20"/>
          <w:u w:val="none"/>
        </w:rPr>
        <w:t>Encouraging Local Collaboration through State Incentives</w:t>
      </w:r>
      <w:r w:rsidR="005D795B" w:rsidRPr="00060C19">
        <w:rPr>
          <w:rFonts w:eastAsia="Times New Roman"/>
          <w:sz w:val="20"/>
          <w:szCs w:val="20"/>
        </w:rPr>
        <w:t xml:space="preserve"> cited examples of collaboration among school divisions as one </w:t>
      </w:r>
      <w:r w:rsidR="00F7624B" w:rsidRPr="00060C19">
        <w:rPr>
          <w:rFonts w:eastAsia="Times New Roman"/>
          <w:sz w:val="20"/>
          <w:szCs w:val="20"/>
        </w:rPr>
        <w:t>strategy</w:t>
      </w:r>
      <w:r w:rsidR="005D795B" w:rsidRPr="00060C19">
        <w:rPr>
          <w:rFonts w:eastAsia="Times New Roman"/>
          <w:sz w:val="20"/>
          <w:szCs w:val="20"/>
        </w:rPr>
        <w:t xml:space="preserve"> for </w:t>
      </w:r>
      <w:r w:rsidR="00E05A84" w:rsidRPr="00060C19">
        <w:rPr>
          <w:rFonts w:eastAsia="Times New Roman"/>
          <w:sz w:val="20"/>
          <w:szCs w:val="20"/>
        </w:rPr>
        <w:t xml:space="preserve">reducing </w:t>
      </w:r>
      <w:r w:rsidR="00980D66" w:rsidRPr="00060C19">
        <w:rPr>
          <w:rFonts w:eastAsia="Times New Roman"/>
          <w:sz w:val="20"/>
          <w:szCs w:val="20"/>
        </w:rPr>
        <w:t xml:space="preserve">overall </w:t>
      </w:r>
      <w:r w:rsidR="005D795B" w:rsidRPr="00060C19">
        <w:rPr>
          <w:rFonts w:eastAsia="Times New Roman"/>
          <w:sz w:val="20"/>
          <w:szCs w:val="20"/>
        </w:rPr>
        <w:t>co</w:t>
      </w:r>
      <w:r w:rsidR="00FC69B9" w:rsidRPr="00060C19">
        <w:rPr>
          <w:rFonts w:eastAsia="Times New Roman"/>
          <w:sz w:val="20"/>
          <w:szCs w:val="20"/>
        </w:rPr>
        <w:t>sts</w:t>
      </w:r>
      <w:r w:rsidR="00E465CC" w:rsidRPr="00060C19">
        <w:rPr>
          <w:rFonts w:eastAsia="Times New Roman"/>
          <w:sz w:val="20"/>
          <w:szCs w:val="20"/>
        </w:rPr>
        <w:t>.</w:t>
      </w:r>
    </w:p>
    <w:p w:rsidR="002E3D75" w:rsidRPr="00060C19" w:rsidRDefault="002E3D75" w:rsidP="007C5ACF">
      <w:pPr>
        <w:pStyle w:val="NoSpacing"/>
        <w:rPr>
          <w:sz w:val="20"/>
          <w:szCs w:val="20"/>
        </w:rPr>
      </w:pPr>
      <w:r w:rsidRPr="00060C19">
        <w:rPr>
          <w:sz w:val="20"/>
          <w:szCs w:val="20"/>
        </w:rPr>
        <w:t xml:space="preserve">To maintain </w:t>
      </w:r>
      <w:r w:rsidR="00E84E90" w:rsidRPr="00060C19">
        <w:rPr>
          <w:sz w:val="20"/>
          <w:szCs w:val="20"/>
        </w:rPr>
        <w:t>and improve its</w:t>
      </w:r>
      <w:r w:rsidRPr="00060C19">
        <w:rPr>
          <w:sz w:val="20"/>
          <w:szCs w:val="20"/>
        </w:rPr>
        <w:t xml:space="preserve"> position in education, the Virginia Board of Education set the following goals in its </w:t>
      </w:r>
      <w:r w:rsidR="009761D1" w:rsidRPr="00060C19">
        <w:rPr>
          <w:sz w:val="20"/>
          <w:szCs w:val="20"/>
        </w:rPr>
        <w:t xml:space="preserve">most recent </w:t>
      </w:r>
      <w:r w:rsidRPr="00060C19">
        <w:rPr>
          <w:sz w:val="20"/>
          <w:szCs w:val="20"/>
        </w:rPr>
        <w:t xml:space="preserve">six year plan for education: </w:t>
      </w:r>
    </w:p>
    <w:p w:rsidR="007C5ACF" w:rsidRPr="00060C19" w:rsidRDefault="007C5ACF" w:rsidP="007C5ACF">
      <w:pPr>
        <w:pStyle w:val="NoSpacing"/>
        <w:rPr>
          <w:sz w:val="20"/>
          <w:szCs w:val="20"/>
        </w:rPr>
      </w:pPr>
    </w:p>
    <w:p w:rsidR="00D4087A" w:rsidRPr="00060C19" w:rsidRDefault="00D4087A" w:rsidP="00680638">
      <w:pPr>
        <w:spacing w:line="360" w:lineRule="auto"/>
        <w:jc w:val="center"/>
        <w:rPr>
          <w:sz w:val="20"/>
          <w:szCs w:val="20"/>
          <w:u w:val="single"/>
        </w:rPr>
      </w:pPr>
      <w:r w:rsidRPr="00060C19">
        <w:rPr>
          <w:sz w:val="20"/>
          <w:szCs w:val="20"/>
          <w:u w:val="single"/>
        </w:rPr>
        <w:t>Virginia Board of Education Goals for 2012-2017:</w:t>
      </w:r>
    </w:p>
    <w:p w:rsidR="00EF25D7" w:rsidRPr="00060C19" w:rsidRDefault="00D6741A" w:rsidP="00EF25D7">
      <w:pPr>
        <w:spacing w:line="360" w:lineRule="auto"/>
        <w:jc w:val="center"/>
        <w:rPr>
          <w:rStyle w:val="Strong"/>
          <w:rFonts w:cs="Arial"/>
          <w:b w:val="0"/>
          <w:sz w:val="20"/>
          <w:szCs w:val="20"/>
        </w:rPr>
      </w:pPr>
      <w:r w:rsidRPr="00060C19">
        <w:rPr>
          <w:rStyle w:val="Strong"/>
          <w:rFonts w:cs="Arial"/>
          <w:b w:val="0"/>
          <w:sz w:val="20"/>
          <w:szCs w:val="20"/>
        </w:rPr>
        <w:t>Goal 1: Accountability for Student Learning</w:t>
      </w:r>
      <w:r w:rsidRPr="00060C19">
        <w:rPr>
          <w:rFonts w:cs="Arial"/>
          <w:color w:val="000000"/>
          <w:sz w:val="20"/>
          <w:szCs w:val="20"/>
        </w:rPr>
        <w:br/>
      </w:r>
      <w:r w:rsidRPr="00060C19">
        <w:rPr>
          <w:rStyle w:val="Strong"/>
          <w:rFonts w:cs="Arial"/>
          <w:b w:val="0"/>
          <w:sz w:val="20"/>
          <w:szCs w:val="20"/>
        </w:rPr>
        <w:t>Goal 2: Rigorous Standards to Promote College and Career Readiness</w:t>
      </w:r>
      <w:r w:rsidRPr="00060C19">
        <w:rPr>
          <w:rFonts w:cs="Arial"/>
          <w:color w:val="000000"/>
          <w:sz w:val="20"/>
          <w:szCs w:val="20"/>
        </w:rPr>
        <w:br/>
      </w:r>
      <w:r w:rsidRPr="00060C19">
        <w:rPr>
          <w:rStyle w:val="Strong"/>
          <w:rFonts w:cs="Arial"/>
          <w:b w:val="0"/>
          <w:sz w:val="20"/>
          <w:szCs w:val="20"/>
        </w:rPr>
        <w:t>Goal 3: Expanded Opportunities to Learn</w:t>
      </w:r>
      <w:r w:rsidRPr="00060C19">
        <w:rPr>
          <w:rFonts w:cs="Arial"/>
          <w:color w:val="000000"/>
          <w:sz w:val="20"/>
          <w:szCs w:val="20"/>
        </w:rPr>
        <w:br/>
      </w:r>
      <w:r w:rsidRPr="00060C19">
        <w:rPr>
          <w:rStyle w:val="Strong"/>
          <w:rFonts w:cs="Arial"/>
          <w:b w:val="0"/>
          <w:sz w:val="20"/>
          <w:szCs w:val="20"/>
        </w:rPr>
        <w:t>Goal 4: Nurturing Young Learners</w:t>
      </w:r>
      <w:r w:rsidRPr="00060C19">
        <w:rPr>
          <w:rFonts w:cs="Arial"/>
          <w:color w:val="000000"/>
          <w:sz w:val="20"/>
          <w:szCs w:val="20"/>
        </w:rPr>
        <w:br/>
      </w:r>
      <w:r w:rsidRPr="00060C19">
        <w:rPr>
          <w:rStyle w:val="Strong"/>
          <w:rFonts w:cs="Arial"/>
          <w:b w:val="0"/>
          <w:sz w:val="20"/>
          <w:szCs w:val="20"/>
        </w:rPr>
        <w:t>Goal 5: Highly Qualified and Effective Educators</w:t>
      </w:r>
      <w:r w:rsidRPr="00060C19">
        <w:rPr>
          <w:rFonts w:cs="Arial"/>
          <w:color w:val="000000"/>
          <w:sz w:val="20"/>
          <w:szCs w:val="20"/>
        </w:rPr>
        <w:br/>
      </w:r>
      <w:r w:rsidRPr="00060C19">
        <w:rPr>
          <w:rStyle w:val="Strong"/>
          <w:rFonts w:cs="Arial"/>
          <w:b w:val="0"/>
          <w:sz w:val="20"/>
          <w:szCs w:val="20"/>
        </w:rPr>
        <w:t>Goal 6: Sound Policies for Student Success</w:t>
      </w:r>
      <w:r w:rsidRPr="00060C19">
        <w:rPr>
          <w:rFonts w:cs="Arial"/>
          <w:color w:val="000000"/>
          <w:sz w:val="20"/>
          <w:szCs w:val="20"/>
        </w:rPr>
        <w:br/>
      </w:r>
      <w:r w:rsidRPr="00060C19">
        <w:rPr>
          <w:rStyle w:val="Strong"/>
          <w:rFonts w:cs="Arial"/>
          <w:b w:val="0"/>
          <w:sz w:val="20"/>
          <w:szCs w:val="20"/>
        </w:rPr>
        <w:t>Goal 7: Safe and Secure Schools</w:t>
      </w:r>
    </w:p>
    <w:p w:rsidR="00680638" w:rsidRPr="00EF25D7" w:rsidRDefault="00680638" w:rsidP="00EF25D7">
      <w:pPr>
        <w:spacing w:line="360" w:lineRule="auto"/>
        <w:jc w:val="center"/>
        <w:rPr>
          <w:rFonts w:ascii="Calibri" w:hAnsi="Calibri" w:cs="Arial"/>
          <w:bCs/>
          <w:color w:val="333333"/>
        </w:rPr>
      </w:pPr>
      <w:proofErr w:type="gramStart"/>
      <w:r w:rsidRPr="00E76C4B">
        <w:rPr>
          <w:b/>
          <w:bCs/>
          <w:sz w:val="20"/>
          <w:szCs w:val="20"/>
          <w:u w:val="single"/>
        </w:rPr>
        <w:t xml:space="preserve">Virginia </w:t>
      </w:r>
      <w:r w:rsidR="009442A7">
        <w:rPr>
          <w:b/>
          <w:bCs/>
          <w:sz w:val="20"/>
          <w:szCs w:val="20"/>
          <w:u w:val="single"/>
        </w:rPr>
        <w:t xml:space="preserve"> </w:t>
      </w:r>
      <w:r w:rsidRPr="00E76C4B">
        <w:rPr>
          <w:b/>
          <w:bCs/>
          <w:sz w:val="20"/>
          <w:szCs w:val="20"/>
          <w:u w:val="single"/>
        </w:rPr>
        <w:t>Board</w:t>
      </w:r>
      <w:proofErr w:type="gramEnd"/>
      <w:r w:rsidRPr="00E76C4B">
        <w:rPr>
          <w:b/>
          <w:bCs/>
          <w:sz w:val="20"/>
          <w:szCs w:val="20"/>
          <w:u w:val="single"/>
        </w:rPr>
        <w:t xml:space="preserve"> of Education’s Report Card on Performance Measures for 2012</w:t>
      </w:r>
    </w:p>
    <w:tbl>
      <w:tblPr>
        <w:tblW w:w="11341" w:type="dxa"/>
        <w:jc w:val="center"/>
        <w:tblInd w:w="-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2"/>
        <w:gridCol w:w="2657"/>
        <w:gridCol w:w="2657"/>
        <w:gridCol w:w="2835"/>
      </w:tblGrid>
      <w:tr w:rsidR="00680638" w:rsidRPr="00E76C4B" w:rsidTr="00E76C4B">
        <w:trPr>
          <w:trHeight w:val="282"/>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bCs/>
                <w:sz w:val="16"/>
                <w:szCs w:val="16"/>
              </w:rPr>
              <w:t>Results 2011-2012</w:t>
            </w:r>
          </w:p>
        </w:tc>
        <w:tc>
          <w:tcPr>
            <w:tcW w:w="2657" w:type="dxa"/>
            <w:shd w:val="clear" w:color="auto" w:fill="auto"/>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bCs/>
                <w:sz w:val="16"/>
                <w:szCs w:val="16"/>
              </w:rPr>
              <w:t>1 Year Trend</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bCs/>
                <w:sz w:val="16"/>
                <w:szCs w:val="16"/>
              </w:rPr>
              <w:t>3 Year Trend</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bCs/>
                <w:sz w:val="16"/>
                <w:szCs w:val="16"/>
              </w:rPr>
              <w:t>Change from 2009-2010</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third-grade students reading on grade level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86%</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8th grade students taking Algebra I or higher in middle school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52.5%</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(3.7)</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(7.6)</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Virginia on-time graduation rate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88%</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(1.4)</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(2.5)</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High school dropout rate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6.5 %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(-0.7)</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(-1.7)</w:t>
            </w:r>
          </w:p>
        </w:tc>
      </w:tr>
      <w:tr w:rsidR="00680638" w:rsidRPr="00E76C4B" w:rsidTr="00E76C4B">
        <w:trPr>
          <w:trHeight w:val="182"/>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Federal graduation indicator (students earning Advanced Studies or Standard Diplomas in at least four years)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82.9%</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(1.3)</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(3.1)</w:t>
            </w:r>
          </w:p>
        </w:tc>
      </w:tr>
      <w:tr w:rsidR="00680638" w:rsidRPr="00E76C4B" w:rsidTr="00E76C4B">
        <w:trPr>
          <w:trHeight w:val="206"/>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graduates earning advanced studies diplomas </w:t>
            </w:r>
          </w:p>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9th grade cohort graduates earning advanced studies diploma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55%</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48.6%</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(1.3)</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(2.5)</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(2.9)</w:t>
            </w:r>
          </w:p>
        </w:tc>
      </w:tr>
      <w:tr w:rsidR="00680638" w:rsidRPr="00E76C4B" w:rsidTr="00E76C4B">
        <w:trPr>
          <w:trHeight w:val="320"/>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students scoring advanced proficient on statewide assessments </w:t>
            </w:r>
          </w:p>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English (Reading and Writing)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35.1%</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(1.2)</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(1.4)</w:t>
            </w:r>
          </w:p>
        </w:tc>
      </w:tr>
      <w:tr w:rsidR="00680638" w:rsidRPr="00E76C4B" w:rsidTr="00E76C4B">
        <w:trPr>
          <w:trHeight w:val="11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Mathematics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11.1%</w:t>
            </w:r>
          </w:p>
        </w:tc>
        <w:tc>
          <w:tcPr>
            <w:tcW w:w="2657" w:type="dxa"/>
          </w:tcPr>
          <w:p w:rsidR="00680638" w:rsidRPr="00E76C4B" w:rsidRDefault="00EC3A74" w:rsidP="00680638">
            <w:pPr>
              <w:pStyle w:val="Default"/>
              <w:spacing w:line="360" w:lineRule="auto"/>
              <w:jc w:val="center"/>
              <w:rPr>
                <w:rFonts w:asciiTheme="minorHAnsi" w:hAnsiTheme="minorHAnsi"/>
                <w:b/>
                <w:sz w:val="16"/>
                <w:szCs w:val="16"/>
              </w:rPr>
            </w:pPr>
            <w:smartTag w:uri="urn:schemas-microsoft-com:office:smarttags" w:element="stockticker">
              <w:r>
                <w:rPr>
                  <w:rFonts w:asciiTheme="minorHAnsi" w:hAnsiTheme="minorHAnsi"/>
                  <w:b/>
                  <w:sz w:val="16"/>
                  <w:szCs w:val="16"/>
                </w:rPr>
                <w:t>NA</w:t>
              </w:r>
            </w:smartTag>
            <w:r w:rsidRPr="008C6464">
              <w:rPr>
                <w:rFonts w:asciiTheme="minorHAnsi" w:hAnsiTheme="minorHAnsi"/>
                <w:b/>
                <w:sz w:val="16"/>
                <w:szCs w:val="16"/>
                <w:vertAlign w:val="superscript"/>
              </w:rPr>
              <w:t>1</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NA</w:t>
            </w:r>
          </w:p>
        </w:tc>
      </w:tr>
      <w:tr w:rsidR="00680638" w:rsidRPr="00E76C4B" w:rsidTr="00E76C4B">
        <w:trPr>
          <w:trHeight w:val="11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History and Social Science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29.1%</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(0.5)</w:t>
            </w:r>
          </w:p>
        </w:tc>
        <w:tc>
          <w:tcPr>
            <w:tcW w:w="2835" w:type="dxa"/>
          </w:tcPr>
          <w:p w:rsidR="00680638" w:rsidRPr="00E76C4B" w:rsidRDefault="00680638" w:rsidP="008C6464">
            <w:pPr>
              <w:pStyle w:val="Default"/>
              <w:spacing w:line="360" w:lineRule="auto"/>
              <w:jc w:val="center"/>
              <w:rPr>
                <w:rFonts w:asciiTheme="minorHAnsi" w:hAnsiTheme="minorHAnsi"/>
                <w:b/>
                <w:sz w:val="16"/>
                <w:szCs w:val="16"/>
              </w:rPr>
            </w:pPr>
            <w:r w:rsidRPr="00E76C4B">
              <w:rPr>
                <w:rFonts w:asciiTheme="minorHAnsi" w:hAnsiTheme="minorHAnsi"/>
                <w:b/>
                <w:sz w:val="16"/>
                <w:szCs w:val="16"/>
              </w:rPr>
              <w:t>NA</w:t>
            </w:r>
            <w:r w:rsidR="008C6464" w:rsidRPr="008C6464">
              <w:rPr>
                <w:rFonts w:asciiTheme="minorHAnsi" w:hAnsiTheme="minorHAnsi"/>
                <w:b/>
                <w:sz w:val="16"/>
                <w:szCs w:val="16"/>
                <w:vertAlign w:val="superscript"/>
              </w:rPr>
              <w:t>2</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Science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29.2%</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(0.7)</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(0.4)</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lastRenderedPageBreak/>
              <w:t xml:space="preserve">Number of at-risk four-year-olds served by Virginia Preschool Initiative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16,618</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(737)</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(717)</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Number of National Board Certified educators </w:t>
            </w:r>
          </w:p>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Percentage of National Board Certified educators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1,890</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1.96%</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(95)</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(0.14)</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(208)</w:t>
            </w:r>
          </w:p>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(0.27)</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Number of CTE students who earned one or more Board-approved credential(s)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42,218</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(11,605)</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(17,963)</w:t>
            </w:r>
          </w:p>
        </w:tc>
      </w:tr>
      <w:tr w:rsidR="00680638" w:rsidRPr="00E76C4B" w:rsidTr="00E76C4B">
        <w:trPr>
          <w:trHeight w:val="11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schools rated fully accredited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93%</w:t>
            </w:r>
          </w:p>
        </w:tc>
        <w:tc>
          <w:tcPr>
            <w:tcW w:w="2657"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 (3)</w:t>
            </w:r>
            <w:r w:rsidRPr="008C6464">
              <w:rPr>
                <w:rFonts w:asciiTheme="minorHAnsi" w:hAnsiTheme="minorHAnsi"/>
                <w:b/>
                <w:sz w:val="16"/>
                <w:szCs w:val="16"/>
                <w:vertAlign w:val="superscript"/>
              </w:rPr>
              <w:t>3</w:t>
            </w:r>
          </w:p>
        </w:tc>
        <w:tc>
          <w:tcPr>
            <w:tcW w:w="2835"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 (5)</w:t>
            </w:r>
            <w:r w:rsidRPr="008C6464">
              <w:rPr>
                <w:rFonts w:asciiTheme="minorHAnsi" w:hAnsiTheme="minorHAnsi"/>
                <w:b/>
                <w:sz w:val="16"/>
                <w:szCs w:val="16"/>
                <w:vertAlign w:val="superscript"/>
              </w:rPr>
              <w:t>4</w:t>
            </w:r>
          </w:p>
        </w:tc>
      </w:tr>
      <w:tr w:rsidR="00680638" w:rsidRPr="00E76C4B" w:rsidTr="00E76C4B">
        <w:trPr>
          <w:trHeight w:val="212"/>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Number of innovative options reviewed by the Board </w:t>
            </w:r>
          </w:p>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Charter School Applications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3</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w:t>
            </w:r>
          </w:p>
        </w:tc>
        <w:tc>
          <w:tcPr>
            <w:tcW w:w="2835"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X</w:t>
            </w:r>
            <w:r w:rsidRPr="008C6464">
              <w:rPr>
                <w:rFonts w:asciiTheme="minorHAnsi" w:hAnsiTheme="minorHAnsi"/>
                <w:b/>
                <w:sz w:val="16"/>
                <w:szCs w:val="16"/>
                <w:vertAlign w:val="superscript"/>
              </w:rPr>
              <w:t>5</w:t>
            </w:r>
          </w:p>
        </w:tc>
      </w:tr>
      <w:tr w:rsidR="00680638" w:rsidRPr="00E76C4B" w:rsidTr="00E76C4B">
        <w:trPr>
          <w:trHeight w:val="11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College Lab School Applications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0</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w:t>
            </w:r>
          </w:p>
        </w:tc>
        <w:tc>
          <w:tcPr>
            <w:tcW w:w="2835"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X</w:t>
            </w:r>
            <w:r w:rsidRPr="008C6464">
              <w:rPr>
                <w:rFonts w:asciiTheme="minorHAnsi" w:hAnsiTheme="minorHAnsi"/>
                <w:b/>
                <w:sz w:val="16"/>
                <w:szCs w:val="16"/>
                <w:vertAlign w:val="superscript"/>
              </w:rPr>
              <w:t>6</w:t>
            </w:r>
          </w:p>
        </w:tc>
      </w:tr>
      <w:tr w:rsidR="00680638" w:rsidRPr="00E76C4B" w:rsidTr="00E76C4B">
        <w:trPr>
          <w:trHeight w:val="91"/>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Governor's STEM or Health Science Academies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5</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(4)</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(5)</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schools that maintain a passing rate on Virginia assessment tests of 95% or above in each of the four core academic areas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0.6%</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(3.02)</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(4.22)</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Number of schools earning recognition under Virginia Index of Performance </w:t>
            </w:r>
          </w:p>
        </w:tc>
        <w:tc>
          <w:tcPr>
            <w:tcW w:w="2657"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447</w:t>
            </w:r>
            <w:r w:rsidRPr="008C6464">
              <w:rPr>
                <w:rFonts w:asciiTheme="minorHAnsi" w:hAnsiTheme="minorHAnsi"/>
                <w:b/>
                <w:sz w:val="16"/>
                <w:szCs w:val="16"/>
                <w:vertAlign w:val="superscript"/>
              </w:rPr>
              <w:t>7</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(281)</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(275)</w:t>
            </w:r>
          </w:p>
        </w:tc>
      </w:tr>
      <w:tr w:rsidR="00680638" w:rsidRPr="00E76C4B" w:rsidTr="00E76C4B">
        <w:trPr>
          <w:trHeight w:val="206"/>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Number of schools that are chronically low performing </w:t>
            </w:r>
            <w:r w:rsidR="008C6464">
              <w:rPr>
                <w:rFonts w:asciiTheme="minorHAnsi" w:hAnsiTheme="minorHAnsi"/>
                <w:b/>
                <w:sz w:val="12"/>
                <w:szCs w:val="12"/>
              </w:rPr>
              <w:t>by state and federal standards</w:t>
            </w:r>
            <w:r w:rsidR="008C6464" w:rsidRPr="008C6464">
              <w:rPr>
                <w:rFonts w:asciiTheme="minorHAnsi" w:hAnsiTheme="minorHAnsi"/>
                <w:b/>
                <w:sz w:val="12"/>
                <w:szCs w:val="12"/>
                <w:vertAlign w:val="superscript"/>
              </w:rPr>
              <w:t>8</w:t>
            </w:r>
            <w:r w:rsidRPr="008C6464">
              <w:rPr>
                <w:rFonts w:asciiTheme="minorHAnsi" w:hAnsiTheme="minorHAnsi"/>
                <w:b/>
                <w:sz w:val="12"/>
                <w:szCs w:val="12"/>
                <w:vertAlign w:val="superscript"/>
              </w:rPr>
              <w:t xml:space="preserve">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8 schools</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 school)</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 (1 school)</w:t>
            </w:r>
          </w:p>
        </w:tc>
      </w:tr>
      <w:tr w:rsidR="00680638" w:rsidRPr="00E76C4B" w:rsidTr="00E76C4B">
        <w:trPr>
          <w:trHeight w:val="205"/>
          <w:jc w:val="center"/>
        </w:trPr>
        <w:tc>
          <w:tcPr>
            <w:tcW w:w="3192" w:type="dxa"/>
          </w:tcPr>
          <w:p w:rsidR="00680638" w:rsidRPr="00E76C4B" w:rsidRDefault="00680638" w:rsidP="00680638">
            <w:pPr>
              <w:pStyle w:val="Default"/>
              <w:spacing w:line="360" w:lineRule="auto"/>
              <w:rPr>
                <w:rFonts w:asciiTheme="minorHAnsi" w:hAnsiTheme="minorHAnsi"/>
                <w:b/>
                <w:sz w:val="12"/>
                <w:szCs w:val="12"/>
              </w:rPr>
            </w:pPr>
            <w:r w:rsidRPr="00E76C4B">
              <w:rPr>
                <w:rFonts w:asciiTheme="minorHAnsi" w:hAnsiTheme="minorHAnsi"/>
                <w:b/>
                <w:sz w:val="12"/>
                <w:szCs w:val="12"/>
              </w:rPr>
              <w:t xml:space="preserve">Percent of schools and divisions meeting or exceeding federal accountability measures </w:t>
            </w:r>
          </w:p>
        </w:tc>
        <w:tc>
          <w:tcPr>
            <w:tcW w:w="2657"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68%</w:t>
            </w:r>
          </w:p>
        </w:tc>
        <w:tc>
          <w:tcPr>
            <w:tcW w:w="2657" w:type="dxa"/>
          </w:tcPr>
          <w:p w:rsidR="00680638" w:rsidRPr="00E76C4B" w:rsidRDefault="008C6464" w:rsidP="00680638">
            <w:pPr>
              <w:pStyle w:val="Default"/>
              <w:spacing w:line="360" w:lineRule="auto"/>
              <w:jc w:val="center"/>
              <w:rPr>
                <w:rFonts w:asciiTheme="minorHAnsi" w:hAnsiTheme="minorHAnsi"/>
                <w:b/>
                <w:sz w:val="16"/>
                <w:szCs w:val="16"/>
              </w:rPr>
            </w:pPr>
            <w:r>
              <w:rPr>
                <w:rFonts w:asciiTheme="minorHAnsi" w:hAnsiTheme="minorHAnsi"/>
                <w:b/>
                <w:sz w:val="16"/>
                <w:szCs w:val="16"/>
              </w:rPr>
              <w:t>NA</w:t>
            </w:r>
            <w:r w:rsidRPr="008C6464">
              <w:rPr>
                <w:rFonts w:asciiTheme="minorHAnsi" w:hAnsiTheme="minorHAnsi"/>
                <w:b/>
                <w:sz w:val="16"/>
                <w:szCs w:val="16"/>
                <w:vertAlign w:val="superscript"/>
              </w:rPr>
              <w:t>9</w:t>
            </w:r>
          </w:p>
        </w:tc>
        <w:tc>
          <w:tcPr>
            <w:tcW w:w="2835" w:type="dxa"/>
          </w:tcPr>
          <w:p w:rsidR="00680638" w:rsidRPr="00E76C4B" w:rsidRDefault="00680638" w:rsidP="00680638">
            <w:pPr>
              <w:pStyle w:val="Default"/>
              <w:spacing w:line="360" w:lineRule="auto"/>
              <w:jc w:val="center"/>
              <w:rPr>
                <w:rFonts w:asciiTheme="minorHAnsi" w:hAnsiTheme="minorHAnsi"/>
                <w:b/>
                <w:sz w:val="16"/>
                <w:szCs w:val="16"/>
              </w:rPr>
            </w:pPr>
            <w:r w:rsidRPr="00E76C4B">
              <w:rPr>
                <w:rFonts w:asciiTheme="minorHAnsi" w:hAnsiTheme="minorHAnsi"/>
                <w:b/>
                <w:sz w:val="16"/>
                <w:szCs w:val="16"/>
              </w:rPr>
              <w:t>NA</w:t>
            </w:r>
          </w:p>
        </w:tc>
      </w:tr>
    </w:tbl>
    <w:p w:rsidR="00E76C4B" w:rsidRDefault="00E76C4B" w:rsidP="00E76C4B">
      <w:pPr>
        <w:pStyle w:val="Default"/>
        <w:spacing w:line="360" w:lineRule="auto"/>
        <w:rPr>
          <w:rFonts w:asciiTheme="minorHAnsi" w:hAnsiTheme="minorHAnsi"/>
          <w:b/>
          <w:sz w:val="12"/>
          <w:szCs w:val="12"/>
        </w:rPr>
      </w:pP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1 Represents 9</w:t>
      </w:r>
      <w:r w:rsidRPr="00E76C4B">
        <w:rPr>
          <w:rFonts w:asciiTheme="minorHAnsi" w:hAnsiTheme="minorHAnsi"/>
          <w:b/>
          <w:sz w:val="12"/>
          <w:szCs w:val="12"/>
          <w:vertAlign w:val="superscript"/>
        </w:rPr>
        <w:t>th</w:t>
      </w:r>
      <w:r w:rsidRPr="00E76C4B">
        <w:rPr>
          <w:rFonts w:asciiTheme="minorHAnsi" w:hAnsiTheme="minorHAnsi"/>
          <w:b/>
          <w:sz w:val="12"/>
          <w:szCs w:val="12"/>
        </w:rPr>
        <w:t xml:space="preserve"> grade cohort</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2 New, more rigorous Mathematics tests were implemented in 2011-2012.</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3 New, more rigorous History and Social Science tests were implemented in 2010-2011.</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4 Results of the new college-and career-ready mathematics tests, first introduced during 2011-2012, are included in the accreditation ratings</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5 The Board introduced a "graduation and completion index" in 2010-2011 as a new accountability factor for high schools, in addition to student achievement on state tests</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6 Process for Board review of charter school applications was not in place until January 2011</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7 Process for Board review of college lab school applications was not in place until January 2011</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8 The Board revised the criteria for awards in 2012 to promote an increasing focus on college and career readiness and STEM</w:t>
      </w:r>
    </w:p>
    <w:p w:rsidR="00680638" w:rsidRPr="00E76C4B" w:rsidRDefault="00680638" w:rsidP="00E76C4B">
      <w:pPr>
        <w:pStyle w:val="Default"/>
        <w:spacing w:line="360" w:lineRule="auto"/>
        <w:rPr>
          <w:rFonts w:asciiTheme="minorHAnsi" w:hAnsiTheme="minorHAnsi"/>
          <w:b/>
          <w:sz w:val="12"/>
          <w:szCs w:val="12"/>
        </w:rPr>
      </w:pPr>
      <w:r w:rsidRPr="00E76C4B">
        <w:rPr>
          <w:rFonts w:asciiTheme="minorHAnsi" w:hAnsiTheme="minorHAnsi"/>
          <w:b/>
          <w:sz w:val="12"/>
          <w:szCs w:val="12"/>
        </w:rPr>
        <w:t>9 Schools accredited with warning, denied accreditation, or conditional accreditation (not new) for 3 or more years</w:t>
      </w:r>
    </w:p>
    <w:p w:rsidR="00680638" w:rsidRPr="00E76C4B" w:rsidRDefault="00680638" w:rsidP="00E76C4B">
      <w:pPr>
        <w:pStyle w:val="Footer"/>
        <w:spacing w:line="360" w:lineRule="auto"/>
        <w:rPr>
          <w:b/>
          <w:sz w:val="12"/>
          <w:szCs w:val="12"/>
        </w:rPr>
      </w:pPr>
      <w:r w:rsidRPr="00E76C4B">
        <w:rPr>
          <w:b/>
          <w:sz w:val="12"/>
          <w:szCs w:val="12"/>
        </w:rPr>
        <w:t>10 The Annual Measurable Objectives (AMOs) and related accountability requirements were established by the Board as part of the Commonwealth’s No Child Left Behind (NCLB) flexibility waiver in 2012.</w:t>
      </w:r>
    </w:p>
    <w:p w:rsidR="00443BA9" w:rsidRPr="00060C19" w:rsidRDefault="00443BA9" w:rsidP="009442A7">
      <w:pPr>
        <w:pStyle w:val="NoSpacing"/>
        <w:jc w:val="center"/>
        <w:rPr>
          <w:rFonts w:cs="Arial"/>
          <w:color w:val="000000"/>
          <w:sz w:val="20"/>
          <w:szCs w:val="20"/>
        </w:rPr>
      </w:pPr>
      <w:r w:rsidRPr="00060C19">
        <w:rPr>
          <w:b/>
          <w:sz w:val="20"/>
          <w:szCs w:val="20"/>
          <w:u w:val="single"/>
        </w:rPr>
        <w:t>References</w:t>
      </w:r>
    </w:p>
    <w:p w:rsidR="00411C26" w:rsidRPr="00060C19" w:rsidRDefault="00411C26" w:rsidP="00443BA9">
      <w:pPr>
        <w:pStyle w:val="NoSpacing"/>
        <w:rPr>
          <w:b/>
          <w:sz w:val="20"/>
          <w:szCs w:val="20"/>
          <w:u w:val="single"/>
        </w:rPr>
      </w:pPr>
    </w:p>
    <w:p w:rsidR="00194C80" w:rsidRPr="00060C19" w:rsidRDefault="00194C80" w:rsidP="00443BA9">
      <w:pPr>
        <w:pStyle w:val="NoSpacing"/>
        <w:rPr>
          <w:i/>
          <w:sz w:val="20"/>
          <w:szCs w:val="20"/>
        </w:rPr>
      </w:pPr>
      <w:r w:rsidRPr="00060C19">
        <w:rPr>
          <w:sz w:val="20"/>
          <w:szCs w:val="20"/>
        </w:rPr>
        <w:t xml:space="preserve">Evergreen Education Group. (2012). </w:t>
      </w:r>
      <w:r w:rsidRPr="00060C19">
        <w:rPr>
          <w:i/>
          <w:sz w:val="20"/>
          <w:szCs w:val="20"/>
        </w:rPr>
        <w:t xml:space="preserve">Keeping Pace with K-12 Online &amp; Blended Learning: An Annual </w:t>
      </w:r>
    </w:p>
    <w:p w:rsidR="0079513E" w:rsidRPr="00060C19" w:rsidRDefault="00194C80" w:rsidP="00194C80">
      <w:pPr>
        <w:pStyle w:val="NoSpacing"/>
        <w:ind w:left="720"/>
        <w:rPr>
          <w:sz w:val="20"/>
          <w:szCs w:val="20"/>
        </w:rPr>
      </w:pPr>
      <w:proofErr w:type="gramStart"/>
      <w:r w:rsidRPr="00060C19">
        <w:rPr>
          <w:i/>
          <w:sz w:val="20"/>
          <w:szCs w:val="20"/>
        </w:rPr>
        <w:t>Review of Policy and Practice.</w:t>
      </w:r>
      <w:proofErr w:type="gramEnd"/>
      <w:r w:rsidRPr="00060C19">
        <w:rPr>
          <w:i/>
          <w:sz w:val="20"/>
          <w:szCs w:val="20"/>
        </w:rPr>
        <w:t xml:space="preserve"> </w:t>
      </w:r>
      <w:r w:rsidRPr="00060C19">
        <w:rPr>
          <w:sz w:val="20"/>
          <w:szCs w:val="20"/>
        </w:rPr>
        <w:t xml:space="preserve">Retrieved from </w:t>
      </w:r>
      <w:hyperlink r:id="rId10" w:history="1">
        <w:r w:rsidRPr="00060C19">
          <w:rPr>
            <w:rStyle w:val="Hyperlink"/>
            <w:sz w:val="20"/>
            <w:szCs w:val="20"/>
            <w:bdr w:val="none" w:sz="0" w:space="0" w:color="auto"/>
          </w:rPr>
          <w:t>http://kpk12.com/cms/wpcontent/uploads/KeepingPace2012.pdf</w:t>
        </w:r>
      </w:hyperlink>
    </w:p>
    <w:p w:rsidR="00194C80" w:rsidRPr="00060C19" w:rsidRDefault="00194C80" w:rsidP="00443BA9">
      <w:pPr>
        <w:pStyle w:val="NoSpacing"/>
        <w:rPr>
          <w:sz w:val="20"/>
          <w:szCs w:val="20"/>
        </w:rPr>
      </w:pPr>
    </w:p>
    <w:p w:rsidR="00095195" w:rsidRPr="00060C19" w:rsidRDefault="00095195" w:rsidP="00095195">
      <w:pPr>
        <w:pStyle w:val="NoSpacing"/>
        <w:rPr>
          <w:i/>
          <w:sz w:val="20"/>
          <w:szCs w:val="20"/>
        </w:rPr>
      </w:pPr>
      <w:proofErr w:type="gramStart"/>
      <w:r w:rsidRPr="00060C19">
        <w:rPr>
          <w:sz w:val="20"/>
          <w:szCs w:val="20"/>
        </w:rPr>
        <w:t>Joint Legislative Audit and Review Commission.</w:t>
      </w:r>
      <w:proofErr w:type="gramEnd"/>
      <w:r w:rsidRPr="00060C19">
        <w:rPr>
          <w:sz w:val="20"/>
          <w:szCs w:val="20"/>
        </w:rPr>
        <w:t xml:space="preserve"> (2013). </w:t>
      </w:r>
      <w:r w:rsidRPr="00060C19">
        <w:rPr>
          <w:i/>
          <w:sz w:val="20"/>
          <w:szCs w:val="20"/>
        </w:rPr>
        <w:t>Virginia Compared to the Other States: National</w:t>
      </w:r>
    </w:p>
    <w:p w:rsidR="00095195" w:rsidRPr="00060C19" w:rsidRDefault="00095195" w:rsidP="00095195">
      <w:pPr>
        <w:pStyle w:val="NoSpacing"/>
        <w:ind w:left="720"/>
        <w:rPr>
          <w:sz w:val="20"/>
          <w:szCs w:val="20"/>
        </w:rPr>
      </w:pPr>
      <w:proofErr w:type="gramStart"/>
      <w:r w:rsidRPr="00060C19">
        <w:rPr>
          <w:i/>
          <w:sz w:val="20"/>
          <w:szCs w:val="20"/>
        </w:rPr>
        <w:t>Rankings on Taxes, Budgetary Components, and Other Indicators</w:t>
      </w:r>
      <w:r w:rsidRPr="00060C19">
        <w:rPr>
          <w:sz w:val="20"/>
          <w:szCs w:val="20"/>
        </w:rPr>
        <w:t>.</w:t>
      </w:r>
      <w:proofErr w:type="gramEnd"/>
      <w:r w:rsidRPr="00060C19">
        <w:rPr>
          <w:sz w:val="20"/>
          <w:szCs w:val="20"/>
        </w:rPr>
        <w:t xml:space="preserve"> Retrieved from </w:t>
      </w:r>
      <w:hyperlink r:id="rId11" w:history="1">
        <w:r w:rsidRPr="00060C19">
          <w:rPr>
            <w:rStyle w:val="Hyperlink"/>
            <w:sz w:val="20"/>
            <w:szCs w:val="20"/>
            <w:bdr w:val="none" w:sz="0" w:space="0" w:color="auto"/>
          </w:rPr>
          <w:t>http://jlarc.state.va.us/reports/Rpt438.pdf</w:t>
        </w:r>
      </w:hyperlink>
    </w:p>
    <w:p w:rsidR="00095195" w:rsidRPr="00060C19" w:rsidRDefault="00095195" w:rsidP="00443BA9">
      <w:pPr>
        <w:pStyle w:val="NoSpacing"/>
        <w:rPr>
          <w:sz w:val="20"/>
          <w:szCs w:val="20"/>
        </w:rPr>
      </w:pPr>
    </w:p>
    <w:p w:rsidR="00411C26" w:rsidRPr="00060C19" w:rsidRDefault="00411C26" w:rsidP="00443BA9">
      <w:pPr>
        <w:pStyle w:val="NoSpacing"/>
        <w:rPr>
          <w:i/>
          <w:sz w:val="20"/>
          <w:szCs w:val="20"/>
        </w:rPr>
      </w:pPr>
      <w:proofErr w:type="gramStart"/>
      <w:r w:rsidRPr="00060C19">
        <w:rPr>
          <w:sz w:val="20"/>
          <w:szCs w:val="20"/>
        </w:rPr>
        <w:t>Joint Legislative Audit and Review Commission.</w:t>
      </w:r>
      <w:proofErr w:type="gramEnd"/>
      <w:r w:rsidRPr="00060C19">
        <w:rPr>
          <w:sz w:val="20"/>
          <w:szCs w:val="20"/>
        </w:rPr>
        <w:t xml:space="preserve"> (2012). </w:t>
      </w:r>
      <w:r w:rsidRPr="00060C19">
        <w:rPr>
          <w:i/>
          <w:sz w:val="20"/>
          <w:szCs w:val="20"/>
        </w:rPr>
        <w:t xml:space="preserve">Encouraging Local Collaboration </w:t>
      </w:r>
      <w:proofErr w:type="gramStart"/>
      <w:r w:rsidRPr="00060C19">
        <w:rPr>
          <w:i/>
          <w:sz w:val="20"/>
          <w:szCs w:val="20"/>
        </w:rPr>
        <w:t>Through</w:t>
      </w:r>
      <w:proofErr w:type="gramEnd"/>
      <w:r w:rsidRPr="00060C19">
        <w:rPr>
          <w:i/>
          <w:sz w:val="20"/>
          <w:szCs w:val="20"/>
        </w:rPr>
        <w:t xml:space="preserve"> State</w:t>
      </w:r>
    </w:p>
    <w:p w:rsidR="00443BA9" w:rsidRPr="00060C19" w:rsidRDefault="00411C26" w:rsidP="00443BA9">
      <w:pPr>
        <w:pStyle w:val="NoSpacing"/>
        <w:rPr>
          <w:sz w:val="20"/>
          <w:szCs w:val="20"/>
        </w:rPr>
      </w:pPr>
      <w:r w:rsidRPr="00060C19">
        <w:rPr>
          <w:i/>
          <w:sz w:val="20"/>
          <w:szCs w:val="20"/>
        </w:rPr>
        <w:tab/>
        <w:t xml:space="preserve"> </w:t>
      </w:r>
      <w:proofErr w:type="gramStart"/>
      <w:r w:rsidRPr="00060C19">
        <w:rPr>
          <w:i/>
          <w:sz w:val="20"/>
          <w:szCs w:val="20"/>
        </w:rPr>
        <w:t>Incentives.</w:t>
      </w:r>
      <w:proofErr w:type="gramEnd"/>
      <w:r w:rsidRPr="00060C19">
        <w:rPr>
          <w:sz w:val="20"/>
          <w:szCs w:val="20"/>
        </w:rPr>
        <w:t xml:space="preserve"> Retrieved from </w:t>
      </w:r>
      <w:hyperlink r:id="rId12" w:history="1">
        <w:r w:rsidR="00B97E55" w:rsidRPr="00060C19">
          <w:rPr>
            <w:rStyle w:val="Hyperlink"/>
            <w:sz w:val="20"/>
            <w:szCs w:val="20"/>
            <w:bdr w:val="none" w:sz="0" w:space="0" w:color="auto"/>
          </w:rPr>
          <w:t>http://jlarc.virginia.gov/reports/Rpt433.pdf</w:t>
        </w:r>
      </w:hyperlink>
    </w:p>
    <w:p w:rsidR="00545078" w:rsidRPr="00060C19" w:rsidRDefault="00545078" w:rsidP="00545078">
      <w:pPr>
        <w:pStyle w:val="NoSpacing"/>
        <w:rPr>
          <w:sz w:val="20"/>
          <w:szCs w:val="20"/>
        </w:rPr>
      </w:pPr>
    </w:p>
    <w:p w:rsidR="00C178D2" w:rsidRPr="00060C19" w:rsidRDefault="00C178D2" w:rsidP="00C178D2">
      <w:pPr>
        <w:pStyle w:val="NoSpacing"/>
        <w:rPr>
          <w:i/>
          <w:sz w:val="20"/>
          <w:szCs w:val="20"/>
        </w:rPr>
      </w:pPr>
      <w:proofErr w:type="gramStart"/>
      <w:r w:rsidRPr="00060C19">
        <w:rPr>
          <w:sz w:val="20"/>
          <w:szCs w:val="20"/>
        </w:rPr>
        <w:t>National Education Association.</w:t>
      </w:r>
      <w:proofErr w:type="gramEnd"/>
      <w:r w:rsidRPr="00060C19">
        <w:rPr>
          <w:sz w:val="20"/>
          <w:szCs w:val="20"/>
        </w:rPr>
        <w:t xml:space="preserve"> (2012). </w:t>
      </w:r>
      <w:r w:rsidRPr="00060C19">
        <w:rPr>
          <w:i/>
          <w:sz w:val="20"/>
          <w:szCs w:val="20"/>
        </w:rPr>
        <w:t>Rankings &amp; Estimates: Rankings of the States 2012 and</w:t>
      </w:r>
    </w:p>
    <w:p w:rsidR="00C178D2" w:rsidRPr="00060C19" w:rsidRDefault="00C178D2" w:rsidP="00C178D2">
      <w:pPr>
        <w:pStyle w:val="NoSpacing"/>
        <w:ind w:firstLine="720"/>
        <w:rPr>
          <w:sz w:val="20"/>
          <w:szCs w:val="20"/>
        </w:rPr>
      </w:pPr>
      <w:proofErr w:type="gramStart"/>
      <w:r w:rsidRPr="00060C19">
        <w:rPr>
          <w:i/>
          <w:sz w:val="20"/>
          <w:szCs w:val="20"/>
        </w:rPr>
        <w:t>Estimates of School Statistics 2013.</w:t>
      </w:r>
      <w:proofErr w:type="gramEnd"/>
      <w:r w:rsidRPr="00060C19">
        <w:rPr>
          <w:sz w:val="20"/>
          <w:szCs w:val="20"/>
        </w:rPr>
        <w:t xml:space="preserve"> Retrieved from </w:t>
      </w:r>
    </w:p>
    <w:p w:rsidR="00C178D2" w:rsidRPr="00060C19" w:rsidRDefault="00060C19" w:rsidP="00C178D2">
      <w:pPr>
        <w:pStyle w:val="NoSpacing"/>
        <w:ind w:firstLine="720"/>
        <w:rPr>
          <w:sz w:val="20"/>
          <w:szCs w:val="20"/>
        </w:rPr>
      </w:pPr>
      <w:hyperlink r:id="rId13" w:history="1">
        <w:r w:rsidR="00C178D2" w:rsidRPr="00060C19">
          <w:rPr>
            <w:rStyle w:val="Hyperlink"/>
            <w:sz w:val="20"/>
            <w:szCs w:val="20"/>
            <w:bdr w:val="none" w:sz="0" w:space="0" w:color="auto"/>
          </w:rPr>
          <w:t>http://www.nea.org/assets/img/content/NEA_Rankings_And_Estimates-2013_(2).pdf</w:t>
        </w:r>
      </w:hyperlink>
    </w:p>
    <w:p w:rsidR="00C178D2" w:rsidRPr="00060C19" w:rsidRDefault="00C178D2" w:rsidP="00545078">
      <w:pPr>
        <w:pStyle w:val="NoSpacing"/>
        <w:rPr>
          <w:sz w:val="20"/>
          <w:szCs w:val="20"/>
        </w:rPr>
      </w:pPr>
    </w:p>
    <w:p w:rsidR="00545078" w:rsidRPr="00060C19" w:rsidRDefault="00443BA9" w:rsidP="00545078">
      <w:pPr>
        <w:pStyle w:val="NoSpacing"/>
        <w:rPr>
          <w:i/>
          <w:sz w:val="20"/>
          <w:szCs w:val="20"/>
        </w:rPr>
      </w:pPr>
      <w:proofErr w:type="gramStart"/>
      <w:r w:rsidRPr="00060C19">
        <w:rPr>
          <w:sz w:val="20"/>
          <w:szCs w:val="20"/>
        </w:rPr>
        <w:t>Southern Regional Education Board.</w:t>
      </w:r>
      <w:proofErr w:type="gramEnd"/>
      <w:r w:rsidRPr="00060C19">
        <w:rPr>
          <w:sz w:val="20"/>
          <w:szCs w:val="20"/>
        </w:rPr>
        <w:t xml:space="preserve"> (</w:t>
      </w:r>
      <w:r w:rsidR="00545078" w:rsidRPr="00060C19">
        <w:rPr>
          <w:sz w:val="20"/>
          <w:szCs w:val="20"/>
        </w:rPr>
        <w:t xml:space="preserve">2012). </w:t>
      </w:r>
      <w:r w:rsidR="00545078" w:rsidRPr="00060C19">
        <w:rPr>
          <w:i/>
          <w:sz w:val="20"/>
          <w:szCs w:val="20"/>
        </w:rPr>
        <w:t>Virginia A Decade of Progress: 2012 Progress Report on the</w:t>
      </w:r>
    </w:p>
    <w:p w:rsidR="00AF73CD" w:rsidRPr="00060C19" w:rsidRDefault="00545078" w:rsidP="00A31A39">
      <w:pPr>
        <w:pStyle w:val="NoSpacing"/>
        <w:ind w:left="720"/>
        <w:rPr>
          <w:sz w:val="20"/>
          <w:szCs w:val="20"/>
        </w:rPr>
      </w:pPr>
      <w:r w:rsidRPr="00060C19">
        <w:rPr>
          <w:i/>
          <w:sz w:val="20"/>
          <w:szCs w:val="20"/>
        </w:rPr>
        <w:t>Challenge to Lead Goals for Education.</w:t>
      </w:r>
      <w:r w:rsidRPr="00060C19">
        <w:rPr>
          <w:sz w:val="20"/>
          <w:szCs w:val="20"/>
        </w:rPr>
        <w:t xml:space="preserve"> Retrieved from </w:t>
      </w:r>
      <w:hyperlink r:id="rId14" w:history="1">
        <w:r w:rsidR="00A31A39" w:rsidRPr="00060C19">
          <w:rPr>
            <w:rStyle w:val="Hyperlink"/>
            <w:sz w:val="20"/>
            <w:szCs w:val="20"/>
            <w:bdr w:val="none" w:sz="0" w:space="0" w:color="auto"/>
          </w:rPr>
          <w:t>http://www.sreb.org/page/1334/state_reports.html</w:t>
        </w:r>
      </w:hyperlink>
    </w:p>
    <w:p w:rsidR="00A31A39" w:rsidRPr="00060C19" w:rsidRDefault="00A31A39" w:rsidP="00A31A39">
      <w:pPr>
        <w:pStyle w:val="NoSpacing"/>
        <w:ind w:left="720"/>
        <w:rPr>
          <w:sz w:val="20"/>
          <w:szCs w:val="20"/>
        </w:rPr>
      </w:pPr>
    </w:p>
    <w:p w:rsidR="00411C26" w:rsidRPr="00060C19" w:rsidRDefault="00411C26" w:rsidP="00411C26">
      <w:pPr>
        <w:spacing w:line="240" w:lineRule="auto"/>
        <w:rPr>
          <w:sz w:val="20"/>
          <w:szCs w:val="20"/>
        </w:rPr>
      </w:pPr>
      <w:proofErr w:type="gramStart"/>
      <w:r w:rsidRPr="00060C19">
        <w:rPr>
          <w:sz w:val="20"/>
          <w:szCs w:val="20"/>
        </w:rPr>
        <w:lastRenderedPageBreak/>
        <w:t>Virginia Board of Education.</w:t>
      </w:r>
      <w:proofErr w:type="gramEnd"/>
      <w:r w:rsidRPr="00060C19">
        <w:rPr>
          <w:sz w:val="20"/>
          <w:szCs w:val="20"/>
        </w:rPr>
        <w:t xml:space="preserve"> </w:t>
      </w:r>
      <w:proofErr w:type="gramStart"/>
      <w:r w:rsidRPr="00060C19">
        <w:rPr>
          <w:sz w:val="20"/>
          <w:szCs w:val="20"/>
        </w:rPr>
        <w:t xml:space="preserve">(2012). </w:t>
      </w:r>
      <w:r w:rsidRPr="00060C19">
        <w:rPr>
          <w:i/>
          <w:sz w:val="20"/>
          <w:szCs w:val="20"/>
        </w:rPr>
        <w:t xml:space="preserve">2012 Annual Report on the Condition and Needs of Public Schools in </w:t>
      </w:r>
      <w:r w:rsidRPr="00060C19">
        <w:rPr>
          <w:i/>
          <w:sz w:val="20"/>
          <w:szCs w:val="20"/>
        </w:rPr>
        <w:tab/>
        <w:t>Virginia</w:t>
      </w:r>
      <w:r w:rsidRPr="00060C19">
        <w:rPr>
          <w:sz w:val="20"/>
          <w:szCs w:val="20"/>
        </w:rPr>
        <w:t>.</w:t>
      </w:r>
      <w:proofErr w:type="gramEnd"/>
      <w:r w:rsidRPr="00060C19">
        <w:rPr>
          <w:sz w:val="20"/>
          <w:szCs w:val="20"/>
        </w:rPr>
        <w:t xml:space="preserve"> Retrieved from </w:t>
      </w:r>
      <w:hyperlink r:id="rId15" w:history="1">
        <w:r w:rsidRPr="00060C19">
          <w:rPr>
            <w:rStyle w:val="Hyperlink"/>
            <w:sz w:val="20"/>
            <w:szCs w:val="20"/>
            <w:bdr w:val="none" w:sz="0" w:space="0" w:color="auto"/>
          </w:rPr>
          <w:t>http://www.doe.virginia.gov/boe/reports/annual_reports/2012.pdf</w:t>
        </w:r>
      </w:hyperlink>
    </w:p>
    <w:p w:rsidR="00411C26" w:rsidRPr="00060C19" w:rsidRDefault="00A31A39" w:rsidP="00A31A39">
      <w:pPr>
        <w:spacing w:line="240" w:lineRule="auto"/>
        <w:rPr>
          <w:sz w:val="20"/>
          <w:szCs w:val="20"/>
        </w:rPr>
      </w:pPr>
      <w:proofErr w:type="gramStart"/>
      <w:r w:rsidRPr="00060C19">
        <w:rPr>
          <w:sz w:val="20"/>
          <w:szCs w:val="20"/>
        </w:rPr>
        <w:t>Virginia Board of Education.</w:t>
      </w:r>
      <w:proofErr w:type="gramEnd"/>
      <w:r w:rsidRPr="00060C19">
        <w:rPr>
          <w:sz w:val="20"/>
          <w:szCs w:val="20"/>
        </w:rPr>
        <w:t xml:space="preserve"> (2012). </w:t>
      </w:r>
      <w:r w:rsidRPr="00060C19">
        <w:rPr>
          <w:i/>
          <w:sz w:val="20"/>
          <w:szCs w:val="20"/>
        </w:rPr>
        <w:t>Board of Education Comprehensive Plan: 2012-2017.</w:t>
      </w:r>
      <w:r w:rsidRPr="00060C19">
        <w:rPr>
          <w:sz w:val="20"/>
          <w:szCs w:val="20"/>
        </w:rPr>
        <w:t xml:space="preserve"> Retrieved from</w:t>
      </w:r>
      <w:r w:rsidRPr="00060C19">
        <w:rPr>
          <w:sz w:val="20"/>
          <w:szCs w:val="20"/>
        </w:rPr>
        <w:tab/>
      </w:r>
      <w:hyperlink r:id="rId16" w:history="1">
        <w:r w:rsidRPr="00060C19">
          <w:rPr>
            <w:rStyle w:val="Hyperlink"/>
            <w:sz w:val="20"/>
            <w:szCs w:val="20"/>
            <w:bdr w:val="none" w:sz="0" w:space="0" w:color="auto"/>
          </w:rPr>
          <w:t>http://www.doe.virginia.gov/boe/plan/comprehensiveplan.pdf</w:t>
        </w:r>
      </w:hyperlink>
    </w:p>
    <w:p w:rsidR="00C178D2" w:rsidRPr="00060C19" w:rsidRDefault="00C178D2" w:rsidP="00CF55E9">
      <w:pPr>
        <w:spacing w:line="240" w:lineRule="auto"/>
        <w:rPr>
          <w:sz w:val="20"/>
          <w:szCs w:val="20"/>
        </w:rPr>
      </w:pPr>
      <w:proofErr w:type="gramStart"/>
      <w:r w:rsidRPr="00060C19">
        <w:rPr>
          <w:sz w:val="20"/>
          <w:szCs w:val="20"/>
        </w:rPr>
        <w:t>Virginia Department of Education.</w:t>
      </w:r>
      <w:proofErr w:type="gramEnd"/>
      <w:r w:rsidRPr="00060C19">
        <w:rPr>
          <w:sz w:val="20"/>
          <w:szCs w:val="20"/>
        </w:rPr>
        <w:t xml:space="preserve"> (</w:t>
      </w:r>
      <w:r w:rsidR="00CF55E9" w:rsidRPr="00060C19">
        <w:rPr>
          <w:sz w:val="20"/>
          <w:szCs w:val="20"/>
        </w:rPr>
        <w:t xml:space="preserve">2012). </w:t>
      </w:r>
      <w:r w:rsidR="00CF55E9" w:rsidRPr="00060C19">
        <w:rPr>
          <w:i/>
          <w:sz w:val="20"/>
          <w:szCs w:val="20"/>
        </w:rPr>
        <w:t xml:space="preserve">2012-2013 Virginia School Report Card. </w:t>
      </w:r>
      <w:r w:rsidR="00CF55E9" w:rsidRPr="00060C19">
        <w:rPr>
          <w:sz w:val="20"/>
          <w:szCs w:val="20"/>
        </w:rPr>
        <w:t>Retrieved from</w:t>
      </w:r>
      <w:r w:rsidR="00CF55E9" w:rsidRPr="00060C19">
        <w:rPr>
          <w:sz w:val="20"/>
          <w:szCs w:val="20"/>
        </w:rPr>
        <w:tab/>
      </w:r>
      <w:hyperlink r:id="rId17" w:history="1">
        <w:r w:rsidR="00CF55E9" w:rsidRPr="00060C19">
          <w:rPr>
            <w:rStyle w:val="Hyperlink"/>
            <w:sz w:val="20"/>
            <w:szCs w:val="20"/>
            <w:bdr w:val="none" w:sz="0" w:space="0" w:color="auto"/>
          </w:rPr>
          <w:t>https://p1pe.doe.virginia.gov/reportcard/report.do?division=All&amp;schoolName=All</w:t>
        </w:r>
      </w:hyperlink>
    </w:p>
    <w:p w:rsidR="00CF55E9" w:rsidRPr="00060C19" w:rsidRDefault="00CF55E9" w:rsidP="00CF55E9">
      <w:pPr>
        <w:spacing w:line="240" w:lineRule="auto"/>
        <w:rPr>
          <w:sz w:val="20"/>
          <w:szCs w:val="20"/>
        </w:rPr>
      </w:pPr>
    </w:p>
    <w:p w:rsidR="00B97E55" w:rsidRPr="00060C19" w:rsidRDefault="00B97E55" w:rsidP="00A31A39">
      <w:pPr>
        <w:spacing w:line="240" w:lineRule="auto"/>
        <w:rPr>
          <w:sz w:val="20"/>
          <w:szCs w:val="20"/>
        </w:rPr>
      </w:pPr>
    </w:p>
    <w:p w:rsidR="00A31A39" w:rsidRPr="00060C19" w:rsidRDefault="00A31A39" w:rsidP="00A31A39">
      <w:pPr>
        <w:spacing w:line="240" w:lineRule="auto"/>
        <w:rPr>
          <w:sz w:val="20"/>
          <w:szCs w:val="20"/>
        </w:rPr>
      </w:pPr>
    </w:p>
    <w:p w:rsidR="00545078" w:rsidRPr="00817282" w:rsidRDefault="00545078" w:rsidP="00CE24CB">
      <w:pPr>
        <w:spacing w:line="240" w:lineRule="auto"/>
      </w:pPr>
    </w:p>
    <w:sectPr w:rsidR="00545078" w:rsidRPr="00817282" w:rsidSect="007236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AE" w:rsidRDefault="00A831AE" w:rsidP="00F821C0">
      <w:pPr>
        <w:spacing w:after="0" w:line="240" w:lineRule="auto"/>
      </w:pPr>
      <w:r>
        <w:separator/>
      </w:r>
    </w:p>
  </w:endnote>
  <w:endnote w:type="continuationSeparator" w:id="0">
    <w:p w:rsidR="00A831AE" w:rsidRDefault="00A831AE" w:rsidP="00F8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902219"/>
      <w:docPartObj>
        <w:docPartGallery w:val="Page Numbers (Bottom of Page)"/>
        <w:docPartUnique/>
      </w:docPartObj>
    </w:sdtPr>
    <w:sdtEndPr>
      <w:rPr>
        <w:noProof/>
      </w:rPr>
    </w:sdtEndPr>
    <w:sdtContent>
      <w:p w:rsidR="00A831AE" w:rsidRDefault="00F97365">
        <w:pPr>
          <w:pStyle w:val="Footer"/>
          <w:jc w:val="center"/>
        </w:pPr>
        <w:r>
          <w:fldChar w:fldCharType="begin"/>
        </w:r>
        <w:r>
          <w:instrText xml:space="preserve"> PAGE   \* MERGEFORMAT </w:instrText>
        </w:r>
        <w:r>
          <w:fldChar w:fldCharType="separate"/>
        </w:r>
        <w:r w:rsidR="00060C19">
          <w:rPr>
            <w:noProof/>
          </w:rPr>
          <w:t>2</w:t>
        </w:r>
        <w:r>
          <w:rPr>
            <w:noProof/>
          </w:rPr>
          <w:fldChar w:fldCharType="end"/>
        </w:r>
      </w:p>
    </w:sdtContent>
  </w:sdt>
  <w:p w:rsidR="00A831AE" w:rsidRDefault="00A83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AE" w:rsidRDefault="00A831AE" w:rsidP="00F821C0">
      <w:pPr>
        <w:spacing w:after="0" w:line="240" w:lineRule="auto"/>
      </w:pPr>
      <w:r>
        <w:separator/>
      </w:r>
    </w:p>
  </w:footnote>
  <w:footnote w:type="continuationSeparator" w:id="0">
    <w:p w:rsidR="00A831AE" w:rsidRDefault="00A831AE" w:rsidP="00F82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9DC"/>
    <w:multiLevelType w:val="hybridMultilevel"/>
    <w:tmpl w:val="335E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95561"/>
    <w:multiLevelType w:val="hybridMultilevel"/>
    <w:tmpl w:val="91E4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52D6"/>
    <w:multiLevelType w:val="multilevel"/>
    <w:tmpl w:val="5CC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CB3244"/>
    <w:multiLevelType w:val="hybridMultilevel"/>
    <w:tmpl w:val="103C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6C"/>
    <w:rsid w:val="0000478C"/>
    <w:rsid w:val="00007CB9"/>
    <w:rsid w:val="0002228F"/>
    <w:rsid w:val="00025002"/>
    <w:rsid w:val="00031B16"/>
    <w:rsid w:val="00034D2F"/>
    <w:rsid w:val="000352C7"/>
    <w:rsid w:val="00037DB3"/>
    <w:rsid w:val="00041081"/>
    <w:rsid w:val="00041FD1"/>
    <w:rsid w:val="00053CBE"/>
    <w:rsid w:val="000543E6"/>
    <w:rsid w:val="000573B9"/>
    <w:rsid w:val="00060C19"/>
    <w:rsid w:val="000716F6"/>
    <w:rsid w:val="00072834"/>
    <w:rsid w:val="00075A97"/>
    <w:rsid w:val="00075AAD"/>
    <w:rsid w:val="00076CB5"/>
    <w:rsid w:val="00077448"/>
    <w:rsid w:val="00081560"/>
    <w:rsid w:val="00081C94"/>
    <w:rsid w:val="00095195"/>
    <w:rsid w:val="000B1888"/>
    <w:rsid w:val="000B1AD8"/>
    <w:rsid w:val="000B257B"/>
    <w:rsid w:val="000B5C04"/>
    <w:rsid w:val="000B7EFE"/>
    <w:rsid w:val="000C0577"/>
    <w:rsid w:val="000D390C"/>
    <w:rsid w:val="000D4413"/>
    <w:rsid w:val="000E04E1"/>
    <w:rsid w:val="000E0C99"/>
    <w:rsid w:val="000E6ABC"/>
    <w:rsid w:val="000F4C55"/>
    <w:rsid w:val="00102C3D"/>
    <w:rsid w:val="001072B2"/>
    <w:rsid w:val="00110CF9"/>
    <w:rsid w:val="0011173B"/>
    <w:rsid w:val="0011216B"/>
    <w:rsid w:val="001176D0"/>
    <w:rsid w:val="00137FD1"/>
    <w:rsid w:val="00140A38"/>
    <w:rsid w:val="00143077"/>
    <w:rsid w:val="00146EB8"/>
    <w:rsid w:val="001606C1"/>
    <w:rsid w:val="00170805"/>
    <w:rsid w:val="00171378"/>
    <w:rsid w:val="00175096"/>
    <w:rsid w:val="00184D3A"/>
    <w:rsid w:val="00194C80"/>
    <w:rsid w:val="00196564"/>
    <w:rsid w:val="001A05BF"/>
    <w:rsid w:val="001A4C4D"/>
    <w:rsid w:val="001B07D2"/>
    <w:rsid w:val="001B1663"/>
    <w:rsid w:val="001B41BE"/>
    <w:rsid w:val="001B6A58"/>
    <w:rsid w:val="001B79B5"/>
    <w:rsid w:val="001C1283"/>
    <w:rsid w:val="001D2A9E"/>
    <w:rsid w:val="001F5943"/>
    <w:rsid w:val="002037E3"/>
    <w:rsid w:val="002038E7"/>
    <w:rsid w:val="00204BD2"/>
    <w:rsid w:val="002065A3"/>
    <w:rsid w:val="0021089F"/>
    <w:rsid w:val="00216A4D"/>
    <w:rsid w:val="00217E6E"/>
    <w:rsid w:val="00221339"/>
    <w:rsid w:val="00223A6F"/>
    <w:rsid w:val="00224134"/>
    <w:rsid w:val="002250FC"/>
    <w:rsid w:val="00231189"/>
    <w:rsid w:val="002474B9"/>
    <w:rsid w:val="002547D6"/>
    <w:rsid w:val="00272EAC"/>
    <w:rsid w:val="0027583D"/>
    <w:rsid w:val="00294ACA"/>
    <w:rsid w:val="002B24D0"/>
    <w:rsid w:val="002C1792"/>
    <w:rsid w:val="002C4414"/>
    <w:rsid w:val="002C4551"/>
    <w:rsid w:val="002D529F"/>
    <w:rsid w:val="002D5477"/>
    <w:rsid w:val="002D5605"/>
    <w:rsid w:val="002E3D75"/>
    <w:rsid w:val="002E4F1B"/>
    <w:rsid w:val="002F02E5"/>
    <w:rsid w:val="002F459F"/>
    <w:rsid w:val="002F5233"/>
    <w:rsid w:val="002F5575"/>
    <w:rsid w:val="003007E8"/>
    <w:rsid w:val="00303ABA"/>
    <w:rsid w:val="0030421F"/>
    <w:rsid w:val="00314CC0"/>
    <w:rsid w:val="00315CD4"/>
    <w:rsid w:val="00320330"/>
    <w:rsid w:val="00320BDB"/>
    <w:rsid w:val="00322ABF"/>
    <w:rsid w:val="00325268"/>
    <w:rsid w:val="00326715"/>
    <w:rsid w:val="003319F6"/>
    <w:rsid w:val="00336197"/>
    <w:rsid w:val="003424F1"/>
    <w:rsid w:val="003428EF"/>
    <w:rsid w:val="003506E8"/>
    <w:rsid w:val="00351F8E"/>
    <w:rsid w:val="003612F8"/>
    <w:rsid w:val="00373FBC"/>
    <w:rsid w:val="00375982"/>
    <w:rsid w:val="00376012"/>
    <w:rsid w:val="00380BD6"/>
    <w:rsid w:val="00384E3E"/>
    <w:rsid w:val="003859BB"/>
    <w:rsid w:val="00386698"/>
    <w:rsid w:val="00394206"/>
    <w:rsid w:val="00397D0E"/>
    <w:rsid w:val="003A6801"/>
    <w:rsid w:val="003A7DDE"/>
    <w:rsid w:val="003B0131"/>
    <w:rsid w:val="003B3956"/>
    <w:rsid w:val="003B666F"/>
    <w:rsid w:val="003C1EFA"/>
    <w:rsid w:val="003C4CA4"/>
    <w:rsid w:val="003D3462"/>
    <w:rsid w:val="003D4ACD"/>
    <w:rsid w:val="003E2E3C"/>
    <w:rsid w:val="003E5BE3"/>
    <w:rsid w:val="003E68C5"/>
    <w:rsid w:val="003F1F50"/>
    <w:rsid w:val="003F5556"/>
    <w:rsid w:val="00403D67"/>
    <w:rsid w:val="00411636"/>
    <w:rsid w:val="00411C26"/>
    <w:rsid w:val="00413337"/>
    <w:rsid w:val="004136E4"/>
    <w:rsid w:val="0042702A"/>
    <w:rsid w:val="004342B7"/>
    <w:rsid w:val="00440526"/>
    <w:rsid w:val="00443BA9"/>
    <w:rsid w:val="00463343"/>
    <w:rsid w:val="00464A7F"/>
    <w:rsid w:val="004653D9"/>
    <w:rsid w:val="004721B8"/>
    <w:rsid w:val="00476E48"/>
    <w:rsid w:val="0049357E"/>
    <w:rsid w:val="004A1B53"/>
    <w:rsid w:val="004A3FE4"/>
    <w:rsid w:val="004B003D"/>
    <w:rsid w:val="004B49EA"/>
    <w:rsid w:val="004C20D7"/>
    <w:rsid w:val="004C3C46"/>
    <w:rsid w:val="004C3FA4"/>
    <w:rsid w:val="004C473F"/>
    <w:rsid w:val="004D270E"/>
    <w:rsid w:val="004D78E6"/>
    <w:rsid w:val="004F20EC"/>
    <w:rsid w:val="004F2195"/>
    <w:rsid w:val="00503058"/>
    <w:rsid w:val="00506E5F"/>
    <w:rsid w:val="00513425"/>
    <w:rsid w:val="00515008"/>
    <w:rsid w:val="00516786"/>
    <w:rsid w:val="00517E94"/>
    <w:rsid w:val="005211A7"/>
    <w:rsid w:val="005425DB"/>
    <w:rsid w:val="00545078"/>
    <w:rsid w:val="00546D15"/>
    <w:rsid w:val="0056779C"/>
    <w:rsid w:val="005724C2"/>
    <w:rsid w:val="00572B2F"/>
    <w:rsid w:val="00575CDE"/>
    <w:rsid w:val="005834AB"/>
    <w:rsid w:val="00585485"/>
    <w:rsid w:val="00590B45"/>
    <w:rsid w:val="00593F46"/>
    <w:rsid w:val="00594F1C"/>
    <w:rsid w:val="005B0E57"/>
    <w:rsid w:val="005B1A82"/>
    <w:rsid w:val="005B4C93"/>
    <w:rsid w:val="005B5E05"/>
    <w:rsid w:val="005D2843"/>
    <w:rsid w:val="005D795B"/>
    <w:rsid w:val="005F0875"/>
    <w:rsid w:val="005F244F"/>
    <w:rsid w:val="005F59A5"/>
    <w:rsid w:val="005F7CDA"/>
    <w:rsid w:val="0060675F"/>
    <w:rsid w:val="00607AEC"/>
    <w:rsid w:val="00621A38"/>
    <w:rsid w:val="006268B2"/>
    <w:rsid w:val="00626CFA"/>
    <w:rsid w:val="006479AC"/>
    <w:rsid w:val="0065066C"/>
    <w:rsid w:val="00670E51"/>
    <w:rsid w:val="006716FC"/>
    <w:rsid w:val="0067255E"/>
    <w:rsid w:val="00672FA5"/>
    <w:rsid w:val="00680638"/>
    <w:rsid w:val="006849A5"/>
    <w:rsid w:val="00692333"/>
    <w:rsid w:val="00695C87"/>
    <w:rsid w:val="006A0948"/>
    <w:rsid w:val="006B3020"/>
    <w:rsid w:val="006B7369"/>
    <w:rsid w:val="006B7DA2"/>
    <w:rsid w:val="006B7EDE"/>
    <w:rsid w:val="006D00BF"/>
    <w:rsid w:val="006D08BC"/>
    <w:rsid w:val="006D183D"/>
    <w:rsid w:val="006D3AB5"/>
    <w:rsid w:val="006E20AC"/>
    <w:rsid w:val="006E6343"/>
    <w:rsid w:val="006F0A23"/>
    <w:rsid w:val="00705191"/>
    <w:rsid w:val="007077C5"/>
    <w:rsid w:val="007149FB"/>
    <w:rsid w:val="00717595"/>
    <w:rsid w:val="00721061"/>
    <w:rsid w:val="007230EC"/>
    <w:rsid w:val="007236D3"/>
    <w:rsid w:val="00727F8D"/>
    <w:rsid w:val="00732F9A"/>
    <w:rsid w:val="0073591C"/>
    <w:rsid w:val="007601CF"/>
    <w:rsid w:val="0076021F"/>
    <w:rsid w:val="0076129F"/>
    <w:rsid w:val="00765457"/>
    <w:rsid w:val="00777920"/>
    <w:rsid w:val="00783120"/>
    <w:rsid w:val="00785AE6"/>
    <w:rsid w:val="00791A3A"/>
    <w:rsid w:val="0079513E"/>
    <w:rsid w:val="007A456F"/>
    <w:rsid w:val="007A6F64"/>
    <w:rsid w:val="007B0888"/>
    <w:rsid w:val="007C5ACF"/>
    <w:rsid w:val="007C6556"/>
    <w:rsid w:val="007C71E4"/>
    <w:rsid w:val="007D097B"/>
    <w:rsid w:val="007D6388"/>
    <w:rsid w:val="007D7BF5"/>
    <w:rsid w:val="007E2DB3"/>
    <w:rsid w:val="007F2BB5"/>
    <w:rsid w:val="007F39E8"/>
    <w:rsid w:val="007F4BDB"/>
    <w:rsid w:val="007F6543"/>
    <w:rsid w:val="00811461"/>
    <w:rsid w:val="008128A6"/>
    <w:rsid w:val="008153C3"/>
    <w:rsid w:val="00817282"/>
    <w:rsid w:val="0082112C"/>
    <w:rsid w:val="00823BE8"/>
    <w:rsid w:val="00827C24"/>
    <w:rsid w:val="00835876"/>
    <w:rsid w:val="00852B94"/>
    <w:rsid w:val="00864C4D"/>
    <w:rsid w:val="00867E6F"/>
    <w:rsid w:val="00877565"/>
    <w:rsid w:val="00881997"/>
    <w:rsid w:val="008847EE"/>
    <w:rsid w:val="00884F2A"/>
    <w:rsid w:val="00893DB4"/>
    <w:rsid w:val="00894B61"/>
    <w:rsid w:val="0089700F"/>
    <w:rsid w:val="008A5866"/>
    <w:rsid w:val="008B3FB9"/>
    <w:rsid w:val="008C1045"/>
    <w:rsid w:val="008C6464"/>
    <w:rsid w:val="008C7085"/>
    <w:rsid w:val="008E1B2A"/>
    <w:rsid w:val="008E4624"/>
    <w:rsid w:val="008E5D5C"/>
    <w:rsid w:val="008E7581"/>
    <w:rsid w:val="008F777C"/>
    <w:rsid w:val="0090308B"/>
    <w:rsid w:val="00903FDA"/>
    <w:rsid w:val="00905EB2"/>
    <w:rsid w:val="00911636"/>
    <w:rsid w:val="00912015"/>
    <w:rsid w:val="0091407D"/>
    <w:rsid w:val="0091532B"/>
    <w:rsid w:val="00922AF1"/>
    <w:rsid w:val="009442A7"/>
    <w:rsid w:val="00946A79"/>
    <w:rsid w:val="00950C33"/>
    <w:rsid w:val="00954519"/>
    <w:rsid w:val="00963FCE"/>
    <w:rsid w:val="009648AC"/>
    <w:rsid w:val="0096559A"/>
    <w:rsid w:val="0097113C"/>
    <w:rsid w:val="00972350"/>
    <w:rsid w:val="009761D1"/>
    <w:rsid w:val="00980D66"/>
    <w:rsid w:val="00984905"/>
    <w:rsid w:val="00991475"/>
    <w:rsid w:val="009918F8"/>
    <w:rsid w:val="009921EC"/>
    <w:rsid w:val="009B4133"/>
    <w:rsid w:val="009B7AC0"/>
    <w:rsid w:val="009C055F"/>
    <w:rsid w:val="009C0973"/>
    <w:rsid w:val="009C14A0"/>
    <w:rsid w:val="009D2F5E"/>
    <w:rsid w:val="009E2CB0"/>
    <w:rsid w:val="009E5742"/>
    <w:rsid w:val="009F7540"/>
    <w:rsid w:val="00A02E44"/>
    <w:rsid w:val="00A13DA6"/>
    <w:rsid w:val="00A25528"/>
    <w:rsid w:val="00A26FE5"/>
    <w:rsid w:val="00A27131"/>
    <w:rsid w:val="00A31A39"/>
    <w:rsid w:val="00A453B5"/>
    <w:rsid w:val="00A4715C"/>
    <w:rsid w:val="00A50E18"/>
    <w:rsid w:val="00A52633"/>
    <w:rsid w:val="00A53139"/>
    <w:rsid w:val="00A533DD"/>
    <w:rsid w:val="00A53674"/>
    <w:rsid w:val="00A61DD4"/>
    <w:rsid w:val="00A662C7"/>
    <w:rsid w:val="00A73AFD"/>
    <w:rsid w:val="00A73BEC"/>
    <w:rsid w:val="00A81A77"/>
    <w:rsid w:val="00A831AE"/>
    <w:rsid w:val="00A83C1E"/>
    <w:rsid w:val="00A84C3A"/>
    <w:rsid w:val="00A9496C"/>
    <w:rsid w:val="00A9609D"/>
    <w:rsid w:val="00AA1B77"/>
    <w:rsid w:val="00AB05B8"/>
    <w:rsid w:val="00AB1E53"/>
    <w:rsid w:val="00AC027F"/>
    <w:rsid w:val="00AC14D3"/>
    <w:rsid w:val="00AC5B41"/>
    <w:rsid w:val="00AD2BB2"/>
    <w:rsid w:val="00AE45B1"/>
    <w:rsid w:val="00AE61AD"/>
    <w:rsid w:val="00AF0980"/>
    <w:rsid w:val="00AF324B"/>
    <w:rsid w:val="00AF6251"/>
    <w:rsid w:val="00AF73CD"/>
    <w:rsid w:val="00B16E23"/>
    <w:rsid w:val="00B22AE0"/>
    <w:rsid w:val="00B23511"/>
    <w:rsid w:val="00B258A9"/>
    <w:rsid w:val="00B268BD"/>
    <w:rsid w:val="00B309ED"/>
    <w:rsid w:val="00B30AAE"/>
    <w:rsid w:val="00B50A10"/>
    <w:rsid w:val="00B5147A"/>
    <w:rsid w:val="00B56D7D"/>
    <w:rsid w:val="00B645CB"/>
    <w:rsid w:val="00B678B3"/>
    <w:rsid w:val="00B71E62"/>
    <w:rsid w:val="00B72234"/>
    <w:rsid w:val="00B8219D"/>
    <w:rsid w:val="00B87E59"/>
    <w:rsid w:val="00B926D9"/>
    <w:rsid w:val="00B943DA"/>
    <w:rsid w:val="00B97E55"/>
    <w:rsid w:val="00BA4C50"/>
    <w:rsid w:val="00BB3FC6"/>
    <w:rsid w:val="00BC7293"/>
    <w:rsid w:val="00BD4684"/>
    <w:rsid w:val="00BF00A7"/>
    <w:rsid w:val="00BF0620"/>
    <w:rsid w:val="00BF0E3C"/>
    <w:rsid w:val="00BF44F6"/>
    <w:rsid w:val="00BF56C6"/>
    <w:rsid w:val="00C157C0"/>
    <w:rsid w:val="00C178D2"/>
    <w:rsid w:val="00C268D6"/>
    <w:rsid w:val="00C30095"/>
    <w:rsid w:val="00C56C4E"/>
    <w:rsid w:val="00C5792E"/>
    <w:rsid w:val="00C60D18"/>
    <w:rsid w:val="00C6459E"/>
    <w:rsid w:val="00C6494D"/>
    <w:rsid w:val="00C67735"/>
    <w:rsid w:val="00C67C5B"/>
    <w:rsid w:val="00C71E2D"/>
    <w:rsid w:val="00C729B8"/>
    <w:rsid w:val="00C750EB"/>
    <w:rsid w:val="00C87108"/>
    <w:rsid w:val="00CB2892"/>
    <w:rsid w:val="00CB6958"/>
    <w:rsid w:val="00CC4261"/>
    <w:rsid w:val="00CC54F3"/>
    <w:rsid w:val="00CC796D"/>
    <w:rsid w:val="00CD2BE9"/>
    <w:rsid w:val="00CE24CB"/>
    <w:rsid w:val="00CE393C"/>
    <w:rsid w:val="00CF2650"/>
    <w:rsid w:val="00CF55E9"/>
    <w:rsid w:val="00CF749F"/>
    <w:rsid w:val="00D0361A"/>
    <w:rsid w:val="00D20F07"/>
    <w:rsid w:val="00D22F1D"/>
    <w:rsid w:val="00D2412E"/>
    <w:rsid w:val="00D24F25"/>
    <w:rsid w:val="00D37718"/>
    <w:rsid w:val="00D37CA4"/>
    <w:rsid w:val="00D4087A"/>
    <w:rsid w:val="00D420D0"/>
    <w:rsid w:val="00D45DDC"/>
    <w:rsid w:val="00D63C99"/>
    <w:rsid w:val="00D6446C"/>
    <w:rsid w:val="00D64A21"/>
    <w:rsid w:val="00D66FD8"/>
    <w:rsid w:val="00D67120"/>
    <w:rsid w:val="00D6741A"/>
    <w:rsid w:val="00D742EF"/>
    <w:rsid w:val="00D77CBF"/>
    <w:rsid w:val="00D84C66"/>
    <w:rsid w:val="00D96B43"/>
    <w:rsid w:val="00DA46CC"/>
    <w:rsid w:val="00DA7CBB"/>
    <w:rsid w:val="00DC2143"/>
    <w:rsid w:val="00DC51D1"/>
    <w:rsid w:val="00DC6D5B"/>
    <w:rsid w:val="00DE43C9"/>
    <w:rsid w:val="00DE4890"/>
    <w:rsid w:val="00DF5056"/>
    <w:rsid w:val="00E05A84"/>
    <w:rsid w:val="00E14860"/>
    <w:rsid w:val="00E202F3"/>
    <w:rsid w:val="00E25ACD"/>
    <w:rsid w:val="00E3312C"/>
    <w:rsid w:val="00E45178"/>
    <w:rsid w:val="00E465CC"/>
    <w:rsid w:val="00E505F0"/>
    <w:rsid w:val="00E6111C"/>
    <w:rsid w:val="00E70005"/>
    <w:rsid w:val="00E70B28"/>
    <w:rsid w:val="00E726FB"/>
    <w:rsid w:val="00E7285C"/>
    <w:rsid w:val="00E74B23"/>
    <w:rsid w:val="00E7693A"/>
    <w:rsid w:val="00E76C4B"/>
    <w:rsid w:val="00E84E90"/>
    <w:rsid w:val="00E90C77"/>
    <w:rsid w:val="00E93816"/>
    <w:rsid w:val="00E97A7D"/>
    <w:rsid w:val="00EA15B8"/>
    <w:rsid w:val="00EA2868"/>
    <w:rsid w:val="00EB6752"/>
    <w:rsid w:val="00EC1938"/>
    <w:rsid w:val="00EC256D"/>
    <w:rsid w:val="00EC2744"/>
    <w:rsid w:val="00EC3A74"/>
    <w:rsid w:val="00ED1785"/>
    <w:rsid w:val="00ED2DE8"/>
    <w:rsid w:val="00ED565D"/>
    <w:rsid w:val="00EF25D7"/>
    <w:rsid w:val="00F10F7A"/>
    <w:rsid w:val="00F17AB2"/>
    <w:rsid w:val="00F26C3E"/>
    <w:rsid w:val="00F40735"/>
    <w:rsid w:val="00F443D0"/>
    <w:rsid w:val="00F5588C"/>
    <w:rsid w:val="00F61606"/>
    <w:rsid w:val="00F64022"/>
    <w:rsid w:val="00F7156D"/>
    <w:rsid w:val="00F71B8C"/>
    <w:rsid w:val="00F746A2"/>
    <w:rsid w:val="00F7624B"/>
    <w:rsid w:val="00F80719"/>
    <w:rsid w:val="00F8128C"/>
    <w:rsid w:val="00F821C0"/>
    <w:rsid w:val="00F84870"/>
    <w:rsid w:val="00F851B9"/>
    <w:rsid w:val="00F97365"/>
    <w:rsid w:val="00FA3234"/>
    <w:rsid w:val="00FC2CC6"/>
    <w:rsid w:val="00FC69B9"/>
    <w:rsid w:val="00FD438E"/>
    <w:rsid w:val="00FF5392"/>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715C"/>
    <w:pPr>
      <w:spacing w:after="0" w:line="240" w:lineRule="auto"/>
      <w:outlineLvl w:val="1"/>
    </w:pPr>
    <w:rPr>
      <w:rFonts w:ascii="Times New Roman" w:eastAsia="Times New Roman" w:hAnsi="Times New Roman" w:cs="Times New Roman"/>
      <w:b/>
      <w:bCs/>
      <w:color w:val="0099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7DDE"/>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6741A"/>
    <w:rPr>
      <w:b/>
      <w:bCs/>
      <w:i w:val="0"/>
      <w:iCs w:val="0"/>
      <w:color w:val="333333"/>
      <w:sz w:val="24"/>
      <w:szCs w:val="24"/>
    </w:rPr>
  </w:style>
  <w:style w:type="paragraph" w:styleId="NormalWeb">
    <w:name w:val="Normal (Web)"/>
    <w:basedOn w:val="Normal"/>
    <w:uiPriority w:val="99"/>
    <w:unhideWhenUsed/>
    <w:rsid w:val="00D6741A"/>
    <w:pPr>
      <w:spacing w:before="135" w:after="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C0"/>
  </w:style>
  <w:style w:type="paragraph" w:styleId="Footer">
    <w:name w:val="footer"/>
    <w:basedOn w:val="Normal"/>
    <w:link w:val="FooterChar"/>
    <w:uiPriority w:val="99"/>
    <w:unhideWhenUsed/>
    <w:rsid w:val="00F8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C0"/>
  </w:style>
  <w:style w:type="paragraph" w:styleId="BalloonText">
    <w:name w:val="Balloon Text"/>
    <w:basedOn w:val="Normal"/>
    <w:link w:val="BalloonTextChar"/>
    <w:uiPriority w:val="99"/>
    <w:semiHidden/>
    <w:unhideWhenUsed/>
    <w:rsid w:val="00F82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C0"/>
    <w:rPr>
      <w:rFonts w:ascii="Tahoma" w:hAnsi="Tahoma" w:cs="Tahoma"/>
      <w:sz w:val="16"/>
      <w:szCs w:val="16"/>
    </w:rPr>
  </w:style>
  <w:style w:type="character" w:customStyle="1" w:styleId="Heading2Char">
    <w:name w:val="Heading 2 Char"/>
    <w:basedOn w:val="DefaultParagraphFont"/>
    <w:link w:val="Heading2"/>
    <w:uiPriority w:val="9"/>
    <w:rsid w:val="00A4715C"/>
    <w:rPr>
      <w:rFonts w:ascii="Times New Roman" w:eastAsia="Times New Roman" w:hAnsi="Times New Roman" w:cs="Times New Roman"/>
      <w:b/>
      <w:bCs/>
      <w:color w:val="009966"/>
      <w:sz w:val="24"/>
      <w:szCs w:val="24"/>
    </w:rPr>
  </w:style>
  <w:style w:type="character" w:styleId="Emphasis">
    <w:name w:val="Emphasis"/>
    <w:basedOn w:val="DefaultParagraphFont"/>
    <w:uiPriority w:val="20"/>
    <w:qFormat/>
    <w:rsid w:val="005B4C93"/>
    <w:rPr>
      <w:i/>
      <w:iCs/>
    </w:rPr>
  </w:style>
  <w:style w:type="character" w:styleId="Hyperlink">
    <w:name w:val="Hyperlink"/>
    <w:basedOn w:val="DefaultParagraphFont"/>
    <w:uiPriority w:val="99"/>
    <w:unhideWhenUsed/>
    <w:rsid w:val="002C1792"/>
    <w:rPr>
      <w:color w:val="0000FF"/>
      <w:u w:val="single"/>
      <w:bdr w:val="none" w:sz="0" w:space="0" w:color="auto" w:frame="1"/>
    </w:rPr>
  </w:style>
  <w:style w:type="character" w:customStyle="1" w:styleId="taghover1">
    <w:name w:val="taghover1"/>
    <w:basedOn w:val="DefaultParagraphFont"/>
    <w:rsid w:val="00FC69B9"/>
    <w:rPr>
      <w:color w:val="6991A0"/>
      <w:u w:val="single"/>
    </w:rPr>
  </w:style>
  <w:style w:type="paragraph" w:styleId="ListParagraph">
    <w:name w:val="List Paragraph"/>
    <w:basedOn w:val="Normal"/>
    <w:uiPriority w:val="34"/>
    <w:qFormat/>
    <w:rsid w:val="00CE24CB"/>
    <w:pPr>
      <w:ind w:left="720"/>
      <w:contextualSpacing/>
    </w:pPr>
  </w:style>
  <w:style w:type="paragraph" w:styleId="NoSpacing">
    <w:name w:val="No Spacing"/>
    <w:uiPriority w:val="1"/>
    <w:qFormat/>
    <w:rsid w:val="006268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715C"/>
    <w:pPr>
      <w:spacing w:after="0" w:line="240" w:lineRule="auto"/>
      <w:outlineLvl w:val="1"/>
    </w:pPr>
    <w:rPr>
      <w:rFonts w:ascii="Times New Roman" w:eastAsia="Times New Roman" w:hAnsi="Times New Roman" w:cs="Times New Roman"/>
      <w:b/>
      <w:bCs/>
      <w:color w:val="0099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7DDE"/>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6741A"/>
    <w:rPr>
      <w:b/>
      <w:bCs/>
      <w:i w:val="0"/>
      <w:iCs w:val="0"/>
      <w:color w:val="333333"/>
      <w:sz w:val="24"/>
      <w:szCs w:val="24"/>
    </w:rPr>
  </w:style>
  <w:style w:type="paragraph" w:styleId="NormalWeb">
    <w:name w:val="Normal (Web)"/>
    <w:basedOn w:val="Normal"/>
    <w:uiPriority w:val="99"/>
    <w:unhideWhenUsed/>
    <w:rsid w:val="00D6741A"/>
    <w:pPr>
      <w:spacing w:before="135" w:after="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C0"/>
  </w:style>
  <w:style w:type="paragraph" w:styleId="Footer">
    <w:name w:val="footer"/>
    <w:basedOn w:val="Normal"/>
    <w:link w:val="FooterChar"/>
    <w:uiPriority w:val="99"/>
    <w:unhideWhenUsed/>
    <w:rsid w:val="00F8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C0"/>
  </w:style>
  <w:style w:type="paragraph" w:styleId="BalloonText">
    <w:name w:val="Balloon Text"/>
    <w:basedOn w:val="Normal"/>
    <w:link w:val="BalloonTextChar"/>
    <w:uiPriority w:val="99"/>
    <w:semiHidden/>
    <w:unhideWhenUsed/>
    <w:rsid w:val="00F82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C0"/>
    <w:rPr>
      <w:rFonts w:ascii="Tahoma" w:hAnsi="Tahoma" w:cs="Tahoma"/>
      <w:sz w:val="16"/>
      <w:szCs w:val="16"/>
    </w:rPr>
  </w:style>
  <w:style w:type="character" w:customStyle="1" w:styleId="Heading2Char">
    <w:name w:val="Heading 2 Char"/>
    <w:basedOn w:val="DefaultParagraphFont"/>
    <w:link w:val="Heading2"/>
    <w:uiPriority w:val="9"/>
    <w:rsid w:val="00A4715C"/>
    <w:rPr>
      <w:rFonts w:ascii="Times New Roman" w:eastAsia="Times New Roman" w:hAnsi="Times New Roman" w:cs="Times New Roman"/>
      <w:b/>
      <w:bCs/>
      <w:color w:val="009966"/>
      <w:sz w:val="24"/>
      <w:szCs w:val="24"/>
    </w:rPr>
  </w:style>
  <w:style w:type="character" w:styleId="Emphasis">
    <w:name w:val="Emphasis"/>
    <w:basedOn w:val="DefaultParagraphFont"/>
    <w:uiPriority w:val="20"/>
    <w:qFormat/>
    <w:rsid w:val="005B4C93"/>
    <w:rPr>
      <w:i/>
      <w:iCs/>
    </w:rPr>
  </w:style>
  <w:style w:type="character" w:styleId="Hyperlink">
    <w:name w:val="Hyperlink"/>
    <w:basedOn w:val="DefaultParagraphFont"/>
    <w:uiPriority w:val="99"/>
    <w:unhideWhenUsed/>
    <w:rsid w:val="002C1792"/>
    <w:rPr>
      <w:color w:val="0000FF"/>
      <w:u w:val="single"/>
      <w:bdr w:val="none" w:sz="0" w:space="0" w:color="auto" w:frame="1"/>
    </w:rPr>
  </w:style>
  <w:style w:type="character" w:customStyle="1" w:styleId="taghover1">
    <w:name w:val="taghover1"/>
    <w:basedOn w:val="DefaultParagraphFont"/>
    <w:rsid w:val="00FC69B9"/>
    <w:rPr>
      <w:color w:val="6991A0"/>
      <w:u w:val="single"/>
    </w:rPr>
  </w:style>
  <w:style w:type="paragraph" w:styleId="ListParagraph">
    <w:name w:val="List Paragraph"/>
    <w:basedOn w:val="Normal"/>
    <w:uiPriority w:val="34"/>
    <w:qFormat/>
    <w:rsid w:val="00CE24CB"/>
    <w:pPr>
      <w:ind w:left="720"/>
      <w:contextualSpacing/>
    </w:pPr>
  </w:style>
  <w:style w:type="paragraph" w:styleId="NoSpacing">
    <w:name w:val="No Spacing"/>
    <w:uiPriority w:val="1"/>
    <w:qFormat/>
    <w:rsid w:val="00626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9202">
      <w:bodyDiv w:val="1"/>
      <w:marLeft w:val="0"/>
      <w:marRight w:val="0"/>
      <w:marTop w:val="0"/>
      <w:marBottom w:val="0"/>
      <w:divBdr>
        <w:top w:val="none" w:sz="0" w:space="0" w:color="auto"/>
        <w:left w:val="none" w:sz="0" w:space="0" w:color="auto"/>
        <w:bottom w:val="none" w:sz="0" w:space="0" w:color="auto"/>
        <w:right w:val="none" w:sz="0" w:space="0" w:color="auto"/>
      </w:divBdr>
    </w:div>
    <w:div w:id="847477836">
      <w:bodyDiv w:val="1"/>
      <w:marLeft w:val="0"/>
      <w:marRight w:val="0"/>
      <w:marTop w:val="0"/>
      <w:marBottom w:val="0"/>
      <w:divBdr>
        <w:top w:val="none" w:sz="0" w:space="0" w:color="auto"/>
        <w:left w:val="none" w:sz="0" w:space="0" w:color="auto"/>
        <w:bottom w:val="none" w:sz="0" w:space="0" w:color="auto"/>
        <w:right w:val="none" w:sz="0" w:space="0" w:color="auto"/>
      </w:divBdr>
      <w:divsChild>
        <w:div w:id="1960647039">
          <w:marLeft w:val="0"/>
          <w:marRight w:val="0"/>
          <w:marTop w:val="0"/>
          <w:marBottom w:val="100"/>
          <w:divBdr>
            <w:top w:val="none" w:sz="0" w:space="0" w:color="auto"/>
            <w:left w:val="none" w:sz="0" w:space="0" w:color="auto"/>
            <w:bottom w:val="none" w:sz="0" w:space="0" w:color="auto"/>
            <w:right w:val="none" w:sz="0" w:space="0" w:color="auto"/>
          </w:divBdr>
          <w:divsChild>
            <w:div w:id="1380126624">
              <w:marLeft w:val="0"/>
              <w:marRight w:val="0"/>
              <w:marTop w:val="0"/>
              <w:marBottom w:val="0"/>
              <w:divBdr>
                <w:top w:val="none" w:sz="0" w:space="0" w:color="auto"/>
                <w:left w:val="none" w:sz="0" w:space="0" w:color="auto"/>
                <w:bottom w:val="none" w:sz="0" w:space="0" w:color="auto"/>
                <w:right w:val="none" w:sz="0" w:space="0" w:color="auto"/>
              </w:divBdr>
              <w:divsChild>
                <w:div w:id="1656492746">
                  <w:marLeft w:val="0"/>
                  <w:marRight w:val="0"/>
                  <w:marTop w:val="0"/>
                  <w:marBottom w:val="0"/>
                  <w:divBdr>
                    <w:top w:val="none" w:sz="0" w:space="0" w:color="auto"/>
                    <w:left w:val="none" w:sz="0" w:space="0" w:color="auto"/>
                    <w:bottom w:val="none" w:sz="0" w:space="0" w:color="auto"/>
                    <w:right w:val="none" w:sz="0" w:space="0" w:color="auto"/>
                  </w:divBdr>
                  <w:divsChild>
                    <w:div w:id="17045141">
                      <w:marLeft w:val="30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2475356">
      <w:bodyDiv w:val="1"/>
      <w:marLeft w:val="0"/>
      <w:marRight w:val="0"/>
      <w:marTop w:val="0"/>
      <w:marBottom w:val="0"/>
      <w:divBdr>
        <w:top w:val="none" w:sz="0" w:space="0" w:color="auto"/>
        <w:left w:val="none" w:sz="0" w:space="0" w:color="auto"/>
        <w:bottom w:val="none" w:sz="0" w:space="0" w:color="auto"/>
        <w:right w:val="none" w:sz="0" w:space="0" w:color="auto"/>
      </w:divBdr>
    </w:div>
    <w:div w:id="1148936197">
      <w:bodyDiv w:val="1"/>
      <w:marLeft w:val="0"/>
      <w:marRight w:val="0"/>
      <w:marTop w:val="0"/>
      <w:marBottom w:val="0"/>
      <w:divBdr>
        <w:top w:val="none" w:sz="0" w:space="0" w:color="auto"/>
        <w:left w:val="none" w:sz="0" w:space="0" w:color="auto"/>
        <w:bottom w:val="none" w:sz="0" w:space="0" w:color="auto"/>
        <w:right w:val="none" w:sz="0" w:space="0" w:color="auto"/>
      </w:divBdr>
      <w:divsChild>
        <w:div w:id="1176112477">
          <w:marLeft w:val="0"/>
          <w:marRight w:val="0"/>
          <w:marTop w:val="0"/>
          <w:marBottom w:val="0"/>
          <w:divBdr>
            <w:top w:val="none" w:sz="0" w:space="0" w:color="auto"/>
            <w:left w:val="none" w:sz="0" w:space="0" w:color="auto"/>
            <w:bottom w:val="none" w:sz="0" w:space="0" w:color="auto"/>
            <w:right w:val="none" w:sz="0" w:space="0" w:color="auto"/>
          </w:divBdr>
          <w:divsChild>
            <w:div w:id="77672963">
              <w:marLeft w:val="0"/>
              <w:marRight w:val="0"/>
              <w:marTop w:val="0"/>
              <w:marBottom w:val="0"/>
              <w:divBdr>
                <w:top w:val="none" w:sz="0" w:space="0" w:color="auto"/>
                <w:left w:val="none" w:sz="0" w:space="0" w:color="auto"/>
                <w:bottom w:val="none" w:sz="0" w:space="0" w:color="auto"/>
                <w:right w:val="none" w:sz="0" w:space="0" w:color="auto"/>
              </w:divBdr>
              <w:divsChild>
                <w:div w:id="8606165">
                  <w:marLeft w:val="0"/>
                  <w:marRight w:val="0"/>
                  <w:marTop w:val="0"/>
                  <w:marBottom w:val="0"/>
                  <w:divBdr>
                    <w:top w:val="none" w:sz="0" w:space="0" w:color="auto"/>
                    <w:left w:val="none" w:sz="0" w:space="0" w:color="auto"/>
                    <w:bottom w:val="none" w:sz="0" w:space="0" w:color="auto"/>
                    <w:right w:val="none" w:sz="0" w:space="0" w:color="auto"/>
                  </w:divBdr>
                  <w:divsChild>
                    <w:div w:id="16545246">
                      <w:marLeft w:val="0"/>
                      <w:marRight w:val="0"/>
                      <w:marTop w:val="0"/>
                      <w:marBottom w:val="0"/>
                      <w:divBdr>
                        <w:top w:val="none" w:sz="0" w:space="0" w:color="auto"/>
                        <w:left w:val="none" w:sz="0" w:space="0" w:color="auto"/>
                        <w:bottom w:val="none" w:sz="0" w:space="0" w:color="auto"/>
                        <w:right w:val="none" w:sz="0" w:space="0" w:color="auto"/>
                      </w:divBdr>
                      <w:divsChild>
                        <w:div w:id="1600598596">
                          <w:marLeft w:val="2501"/>
                          <w:marRight w:val="0"/>
                          <w:marTop w:val="0"/>
                          <w:marBottom w:val="0"/>
                          <w:divBdr>
                            <w:top w:val="none" w:sz="0" w:space="0" w:color="auto"/>
                            <w:left w:val="none" w:sz="0" w:space="0" w:color="auto"/>
                            <w:bottom w:val="none" w:sz="0" w:space="0" w:color="auto"/>
                            <w:right w:val="none" w:sz="0" w:space="0" w:color="auto"/>
                          </w:divBdr>
                          <w:divsChild>
                            <w:div w:id="494996340">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71476">
      <w:bodyDiv w:val="1"/>
      <w:marLeft w:val="0"/>
      <w:marRight w:val="0"/>
      <w:marTop w:val="0"/>
      <w:marBottom w:val="0"/>
      <w:divBdr>
        <w:top w:val="none" w:sz="0" w:space="0" w:color="auto"/>
        <w:left w:val="none" w:sz="0" w:space="0" w:color="auto"/>
        <w:bottom w:val="none" w:sz="0" w:space="0" w:color="auto"/>
        <w:right w:val="none" w:sz="0" w:space="0" w:color="auto"/>
      </w:divBdr>
      <w:divsChild>
        <w:div w:id="605501903">
          <w:marLeft w:val="0"/>
          <w:marRight w:val="0"/>
          <w:marTop w:val="0"/>
          <w:marBottom w:val="0"/>
          <w:divBdr>
            <w:top w:val="none" w:sz="0" w:space="0" w:color="auto"/>
            <w:left w:val="none" w:sz="0" w:space="0" w:color="auto"/>
            <w:bottom w:val="none" w:sz="0" w:space="0" w:color="auto"/>
            <w:right w:val="none" w:sz="0" w:space="0" w:color="auto"/>
          </w:divBdr>
          <w:divsChild>
            <w:div w:id="1615018326">
              <w:marLeft w:val="0"/>
              <w:marRight w:val="0"/>
              <w:marTop w:val="0"/>
              <w:marBottom w:val="0"/>
              <w:divBdr>
                <w:top w:val="none" w:sz="0" w:space="0" w:color="auto"/>
                <w:left w:val="none" w:sz="0" w:space="0" w:color="auto"/>
                <w:bottom w:val="none" w:sz="0" w:space="0" w:color="auto"/>
                <w:right w:val="none" w:sz="0" w:space="0" w:color="auto"/>
              </w:divBdr>
              <w:divsChild>
                <w:div w:id="490488542">
                  <w:marLeft w:val="0"/>
                  <w:marRight w:val="0"/>
                  <w:marTop w:val="0"/>
                  <w:marBottom w:val="0"/>
                  <w:divBdr>
                    <w:top w:val="none" w:sz="0" w:space="0" w:color="auto"/>
                    <w:left w:val="none" w:sz="0" w:space="0" w:color="auto"/>
                    <w:bottom w:val="none" w:sz="0" w:space="0" w:color="auto"/>
                    <w:right w:val="none" w:sz="0" w:space="0" w:color="auto"/>
                  </w:divBdr>
                  <w:divsChild>
                    <w:div w:id="946279032">
                      <w:marLeft w:val="0"/>
                      <w:marRight w:val="0"/>
                      <w:marTop w:val="0"/>
                      <w:marBottom w:val="0"/>
                      <w:divBdr>
                        <w:top w:val="none" w:sz="0" w:space="0" w:color="auto"/>
                        <w:left w:val="none" w:sz="0" w:space="0" w:color="auto"/>
                        <w:bottom w:val="none" w:sz="0" w:space="0" w:color="auto"/>
                        <w:right w:val="none" w:sz="0" w:space="0" w:color="auto"/>
                      </w:divBdr>
                      <w:divsChild>
                        <w:div w:id="1242373470">
                          <w:marLeft w:val="2501"/>
                          <w:marRight w:val="0"/>
                          <w:marTop w:val="0"/>
                          <w:marBottom w:val="0"/>
                          <w:divBdr>
                            <w:top w:val="none" w:sz="0" w:space="0" w:color="auto"/>
                            <w:left w:val="none" w:sz="0" w:space="0" w:color="auto"/>
                            <w:bottom w:val="none" w:sz="0" w:space="0" w:color="auto"/>
                            <w:right w:val="none" w:sz="0" w:space="0" w:color="auto"/>
                          </w:divBdr>
                          <w:divsChild>
                            <w:div w:id="675502712">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969992">
      <w:bodyDiv w:val="1"/>
      <w:marLeft w:val="0"/>
      <w:marRight w:val="0"/>
      <w:marTop w:val="0"/>
      <w:marBottom w:val="0"/>
      <w:divBdr>
        <w:top w:val="none" w:sz="0" w:space="0" w:color="auto"/>
        <w:left w:val="none" w:sz="0" w:space="0" w:color="auto"/>
        <w:bottom w:val="none" w:sz="0" w:space="0" w:color="auto"/>
        <w:right w:val="none" w:sz="0" w:space="0" w:color="auto"/>
      </w:divBdr>
      <w:divsChild>
        <w:div w:id="1724477060">
          <w:marLeft w:val="0"/>
          <w:marRight w:val="0"/>
          <w:marTop w:val="0"/>
          <w:marBottom w:val="0"/>
          <w:divBdr>
            <w:top w:val="none" w:sz="0" w:space="0" w:color="auto"/>
            <w:left w:val="none" w:sz="0" w:space="0" w:color="auto"/>
            <w:bottom w:val="none" w:sz="0" w:space="0" w:color="auto"/>
            <w:right w:val="none" w:sz="0" w:space="0" w:color="auto"/>
          </w:divBdr>
          <w:divsChild>
            <w:div w:id="185365064">
              <w:marLeft w:val="0"/>
              <w:marRight w:val="0"/>
              <w:marTop w:val="0"/>
              <w:marBottom w:val="0"/>
              <w:divBdr>
                <w:top w:val="none" w:sz="0" w:space="0" w:color="auto"/>
                <w:left w:val="none" w:sz="0" w:space="0" w:color="auto"/>
                <w:bottom w:val="none" w:sz="0" w:space="0" w:color="auto"/>
                <w:right w:val="none" w:sz="0" w:space="0" w:color="auto"/>
              </w:divBdr>
              <w:divsChild>
                <w:div w:id="1700623465">
                  <w:marLeft w:val="0"/>
                  <w:marRight w:val="0"/>
                  <w:marTop w:val="0"/>
                  <w:marBottom w:val="0"/>
                  <w:divBdr>
                    <w:top w:val="none" w:sz="0" w:space="0" w:color="auto"/>
                    <w:left w:val="none" w:sz="0" w:space="0" w:color="auto"/>
                    <w:bottom w:val="none" w:sz="0" w:space="0" w:color="auto"/>
                    <w:right w:val="none" w:sz="0" w:space="0" w:color="auto"/>
                  </w:divBdr>
                  <w:divsChild>
                    <w:div w:id="240798521">
                      <w:marLeft w:val="0"/>
                      <w:marRight w:val="3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727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a.org/assets/img/content/NEA_Rankings_And_Estimates-2013_(2).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larc.virginia.gov/reports/Rpt433.pdf" TargetMode="External"/><Relationship Id="rId17" Type="http://schemas.openxmlformats.org/officeDocument/2006/relationships/hyperlink" Target="https://p1pe.doe.virginia.gov/reportcard/report.do?division=All&amp;schoolName=All" TargetMode="External"/><Relationship Id="rId2" Type="http://schemas.openxmlformats.org/officeDocument/2006/relationships/numbering" Target="numbering.xml"/><Relationship Id="rId16" Type="http://schemas.openxmlformats.org/officeDocument/2006/relationships/hyperlink" Target="http://www.doe.virginia.gov/boe/plan/comprehensivepla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larc.state.va.us/reports/Rpt438.pdf" TargetMode="External"/><Relationship Id="rId5" Type="http://schemas.openxmlformats.org/officeDocument/2006/relationships/settings" Target="settings.xml"/><Relationship Id="rId15" Type="http://schemas.openxmlformats.org/officeDocument/2006/relationships/hyperlink" Target="http://www.doe.virginia.gov/boe/reports/annual_reports/2012.pdf" TargetMode="External"/><Relationship Id="rId10" Type="http://schemas.openxmlformats.org/officeDocument/2006/relationships/hyperlink" Target="http://kpk12.com/cms/wpcontent/uploads/KeepingPace2012.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e.virginia.gov/support/student_conduct/functional_behavioral_assessment.pdf" TargetMode="External"/><Relationship Id="rId14" Type="http://schemas.openxmlformats.org/officeDocument/2006/relationships/hyperlink" Target="http://www.sreb.org/page/1334/state_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09445-2497-42DA-B971-372F1DD5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c:creator>
  <cp:lastModifiedBy>SAA</cp:lastModifiedBy>
  <cp:revision>2</cp:revision>
  <cp:lastPrinted>2013-06-13T14:59:00Z</cp:lastPrinted>
  <dcterms:created xsi:type="dcterms:W3CDTF">2013-06-13T22:04:00Z</dcterms:created>
  <dcterms:modified xsi:type="dcterms:W3CDTF">2013-06-13T22:04:00Z</dcterms:modified>
</cp:coreProperties>
</file>